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55307">
      <w:pPr>
        <w:spacing w:line="360" w:lineRule="auto"/>
        <w:jc w:val="center"/>
        <w:rPr>
          <w:rFonts w:hint="eastAsia"/>
          <w:b/>
          <w:bCs/>
          <w:snapToGrid w:val="0"/>
          <w:color w:val="000000" w:themeColor="text1"/>
          <w:sz w:val="36"/>
          <w:szCs w:val="36"/>
          <w:lang w:eastAsia="zh-CN"/>
        </w:rPr>
      </w:pPr>
      <w:r>
        <w:rPr>
          <w:rFonts w:hint="eastAsia"/>
          <w:b/>
          <w:bCs/>
          <w:snapToGrid w:val="0"/>
          <w:color w:val="000000" w:themeColor="text1"/>
          <w:sz w:val="36"/>
          <w:szCs w:val="36"/>
          <w:lang w:eastAsia="zh-CN"/>
        </w:rPr>
        <w:t>广州市闽兴包装科技有限公司迁改建项目</w:t>
      </w:r>
    </w:p>
    <w:p w14:paraId="490432FE">
      <w:pPr>
        <w:spacing w:line="360" w:lineRule="auto"/>
        <w:jc w:val="center"/>
        <w:rPr>
          <w:b/>
          <w:bCs/>
          <w:snapToGrid w:val="0"/>
          <w:color w:val="000000" w:themeColor="text1"/>
          <w:sz w:val="36"/>
          <w:szCs w:val="36"/>
        </w:rPr>
      </w:pPr>
      <w:r>
        <w:rPr>
          <w:rFonts w:hint="eastAsia"/>
          <w:b/>
          <w:bCs/>
          <w:snapToGrid w:val="0"/>
          <w:color w:val="000000" w:themeColor="text1"/>
          <w:sz w:val="36"/>
          <w:szCs w:val="36"/>
        </w:rPr>
        <w:t>竣工环境保护验收意见</w:t>
      </w:r>
    </w:p>
    <w:p w14:paraId="46315910">
      <w:pPr>
        <w:spacing w:line="360" w:lineRule="auto"/>
        <w:ind w:firstLine="480" w:firstLineChars="200"/>
      </w:pPr>
    </w:p>
    <w:p w14:paraId="4FAEB7AA">
      <w:pPr>
        <w:snapToGrid w:val="0"/>
        <w:spacing w:line="360" w:lineRule="auto"/>
        <w:ind w:firstLine="480" w:firstLineChars="200"/>
      </w:pPr>
      <w:r>
        <w:rPr>
          <w:rFonts w:hint="eastAsia"/>
        </w:rPr>
        <w:t>根据《建设项目竣工环境保护验收暂行办法》（国环规环评〔2017〕4号）、《国务院关于修改&lt;建设项目环境保护管理条例&gt;的决定》（国务院令第682号）、《建设项目竣工环境保护验收技术指南 污染影响类》，</w:t>
      </w:r>
      <w:r>
        <w:rPr>
          <w:rFonts w:hint="eastAsia"/>
          <w:lang w:eastAsia="zh-CN"/>
        </w:rPr>
        <w:t>广州市闽兴包装科技有限公司</w:t>
      </w:r>
      <w:r>
        <w:rPr>
          <w:rFonts w:hint="eastAsia"/>
        </w:rPr>
        <w:t>编制了《</w:t>
      </w:r>
      <w:r>
        <w:rPr>
          <w:rFonts w:hint="eastAsia"/>
          <w:lang w:eastAsia="zh-CN"/>
        </w:rPr>
        <w:t>广州市闽兴包装科技有限公司迁改建项目</w:t>
      </w:r>
      <w:r>
        <w:rPr>
          <w:rFonts w:hint="eastAsia"/>
        </w:rPr>
        <w:t>竣工环境保护验收报告》（以下简称《验收报告》），并</w:t>
      </w:r>
      <w:r>
        <w:rPr>
          <w:rFonts w:hint="eastAsia"/>
          <w:lang w:val="en-US" w:eastAsia="zh-CN"/>
        </w:rPr>
        <w:t>于2025年5月29日</w:t>
      </w:r>
      <w:r>
        <w:rPr>
          <w:rFonts w:hint="eastAsia"/>
        </w:rPr>
        <w:t>组织了验收工作组对</w:t>
      </w:r>
      <w:r>
        <w:rPr>
          <w:rFonts w:hint="eastAsia"/>
          <w:lang w:eastAsia="zh-CN"/>
        </w:rPr>
        <w:t>广州市闽兴包装科技有限公司迁改建项目</w:t>
      </w:r>
      <w:r>
        <w:rPr>
          <w:rFonts w:hint="eastAsia"/>
        </w:rPr>
        <w:t>（以下简称“本项目”）进行环保竣工验收。</w:t>
      </w:r>
    </w:p>
    <w:p w14:paraId="27A80940">
      <w:pPr>
        <w:snapToGrid w:val="0"/>
        <w:spacing w:line="360" w:lineRule="auto"/>
        <w:ind w:firstLine="480" w:firstLineChars="200"/>
      </w:pPr>
      <w:r>
        <w:rPr>
          <w:rFonts w:hint="eastAsia"/>
        </w:rPr>
        <w:t>验收工作组由建设单位</w:t>
      </w:r>
      <w:r>
        <w:rPr>
          <w:rFonts w:hint="eastAsia"/>
          <w:lang w:eastAsia="zh-CN"/>
        </w:rPr>
        <w:t>广州市闽兴包装科技有限公司</w:t>
      </w:r>
      <w:r>
        <w:rPr>
          <w:rFonts w:hint="eastAsia"/>
        </w:rPr>
        <w:t>的单位代表，验收监测单位代表，</w:t>
      </w:r>
      <w:r>
        <w:rPr>
          <w:rFonts w:hint="eastAsia"/>
          <w:lang w:val="en-US" w:eastAsia="zh-CN"/>
        </w:rPr>
        <w:t>环评报告编制单位代表</w:t>
      </w:r>
      <w:r>
        <w:rPr>
          <w:rFonts w:hint="eastAsia"/>
        </w:rPr>
        <w:t>以及</w:t>
      </w:r>
      <w:r>
        <w:rPr>
          <w:rFonts w:hint="eastAsia"/>
          <w:highlight w:val="none"/>
        </w:rPr>
        <w:t>一名技术专家组成</w:t>
      </w:r>
      <w:r>
        <w:rPr>
          <w:rFonts w:hint="eastAsia"/>
        </w:rPr>
        <w:t>（名单附后），工作组听取了建设单位关于项目建设和环境保护执行情况、验收监测单位关于验收监测情况的介绍，查阅了验收报告、验收监测报告及相关材料，经讨论形成验收意见如下：</w:t>
      </w:r>
    </w:p>
    <w:p w14:paraId="25A72B69">
      <w:pPr>
        <w:snapToGrid w:val="0"/>
        <w:spacing w:line="360" w:lineRule="auto"/>
        <w:ind w:firstLine="482" w:firstLineChars="200"/>
        <w:rPr>
          <w:b/>
          <w:bCs/>
          <w:snapToGrid w:val="0"/>
          <w:color w:val="000000" w:themeColor="text1"/>
        </w:rPr>
      </w:pPr>
      <w:r>
        <w:rPr>
          <w:rFonts w:hint="eastAsia"/>
          <w:b/>
          <w:bCs/>
          <w:snapToGrid w:val="0"/>
          <w:color w:val="000000" w:themeColor="text1"/>
        </w:rPr>
        <w:t>一、工程建设基本情况</w:t>
      </w:r>
    </w:p>
    <w:p w14:paraId="0BB40F90">
      <w:pPr>
        <w:snapToGrid w:val="0"/>
        <w:spacing w:line="360" w:lineRule="auto"/>
        <w:ind w:firstLine="482" w:firstLineChars="200"/>
        <w:rPr>
          <w:b/>
          <w:bCs/>
          <w:snapToGrid w:val="0"/>
          <w:color w:val="000000" w:themeColor="text1"/>
        </w:rPr>
      </w:pPr>
      <w:r>
        <w:rPr>
          <w:rFonts w:hint="eastAsia"/>
          <w:b/>
          <w:bCs/>
          <w:snapToGrid w:val="0"/>
          <w:color w:val="000000" w:themeColor="text1"/>
        </w:rPr>
        <w:t>1、建设地点、规模、主要建设内容</w:t>
      </w:r>
    </w:p>
    <w:p w14:paraId="1FB8BB13">
      <w:pPr>
        <w:snapToGrid w:val="0"/>
        <w:spacing w:line="360" w:lineRule="auto"/>
        <w:ind w:firstLine="480" w:firstLineChars="200"/>
        <w:rPr>
          <w:snapToGrid w:val="0"/>
          <w:color w:val="000000" w:themeColor="text1"/>
        </w:rPr>
      </w:pPr>
      <w:r>
        <w:rPr>
          <w:rFonts w:hint="eastAsia" w:eastAsia="宋体"/>
          <w:color w:val="000000"/>
          <w:lang w:eastAsia="zh-CN"/>
        </w:rPr>
        <w:t>广州市闽兴包装科技有限公司</w:t>
      </w:r>
      <w:r>
        <w:rPr>
          <w:rFonts w:hint="eastAsia"/>
          <w:color w:val="000000"/>
        </w:rPr>
        <w:t>投资</w:t>
      </w:r>
      <w:r>
        <w:rPr>
          <w:rFonts w:hint="default"/>
          <w:color w:val="000000"/>
        </w:rPr>
        <w:t>200</w:t>
      </w:r>
      <w:r>
        <w:rPr>
          <w:rFonts w:hint="eastAsia"/>
          <w:color w:val="000000"/>
        </w:rPr>
        <w:t>万元将</w:t>
      </w:r>
      <w:r>
        <w:rPr>
          <w:rFonts w:hint="eastAsia" w:eastAsia="宋体"/>
          <w:color w:val="000000"/>
          <w:lang w:eastAsia="zh-CN"/>
        </w:rPr>
        <w:t>原项目</w:t>
      </w:r>
      <w:r>
        <w:rPr>
          <w:rFonts w:hint="eastAsia"/>
          <w:color w:val="000000"/>
        </w:rPr>
        <w:t>迁址至</w:t>
      </w:r>
      <w:r>
        <w:rPr>
          <w:rFonts w:hint="eastAsia" w:eastAsia="宋体"/>
          <w:color w:val="000000"/>
          <w:highlight w:val="none"/>
          <w:lang w:eastAsia="zh-CN"/>
        </w:rPr>
        <w:t>广州市南沙区大岗镇高沙村新村街38号102厂房一层</w:t>
      </w:r>
      <w:r>
        <w:rPr>
          <w:rFonts w:hint="eastAsia"/>
          <w:color w:val="000000"/>
        </w:rPr>
        <w:t>，</w:t>
      </w:r>
      <w:r>
        <w:rPr>
          <w:rFonts w:hint="eastAsia" w:ascii="Times New Roman" w:eastAsia="宋体"/>
          <w:color w:val="000000"/>
          <w:lang w:val="en-US" w:eastAsia="zh-CN"/>
        </w:rPr>
        <w:t>并变更部分设备，建设本项目。</w:t>
      </w:r>
      <w:r>
        <w:rPr>
          <w:rFonts w:hint="eastAsia" w:eastAsia="宋体"/>
          <w:color w:val="000000"/>
          <w:lang w:eastAsia="zh-CN"/>
        </w:rPr>
        <w:t>本项目</w:t>
      </w:r>
      <w:r>
        <w:rPr>
          <w:rFonts w:hint="eastAsia"/>
          <w:color w:val="000000"/>
        </w:rPr>
        <w:t>的</w:t>
      </w:r>
      <w:r>
        <w:rPr>
          <w:rFonts w:hint="default"/>
          <w:color w:val="000000"/>
        </w:rPr>
        <w:t>中心地理坐标</w:t>
      </w:r>
      <w:r>
        <w:rPr>
          <w:rFonts w:hint="eastAsia"/>
          <w:color w:val="000000"/>
        </w:rPr>
        <w:t>为</w:t>
      </w:r>
      <w:r>
        <w:rPr>
          <w:rFonts w:hint="default"/>
          <w:color w:val="000000"/>
        </w:rPr>
        <w:t>：</w:t>
      </w:r>
      <w:r>
        <w:rPr>
          <w:rFonts w:hint="default"/>
          <w:color w:val="000000"/>
          <w:sz w:val="24"/>
          <w:szCs w:val="24"/>
        </w:rPr>
        <w:t>E 113°2</w:t>
      </w:r>
      <w:r>
        <w:rPr>
          <w:rFonts w:hint="eastAsia" w:ascii="Times New Roman" w:eastAsia="宋体"/>
          <w:color w:val="000000"/>
          <w:sz w:val="24"/>
          <w:szCs w:val="24"/>
          <w:lang w:val="en-US" w:eastAsia="zh-CN"/>
        </w:rPr>
        <w:t>5</w:t>
      </w:r>
      <w:r>
        <w:rPr>
          <w:rFonts w:hint="default"/>
          <w:color w:val="000000"/>
          <w:sz w:val="24"/>
          <w:szCs w:val="24"/>
        </w:rPr>
        <w:t>'</w:t>
      </w:r>
      <w:r>
        <w:rPr>
          <w:rFonts w:hint="eastAsia"/>
          <w:color w:val="000000"/>
          <w:sz w:val="24"/>
          <w:szCs w:val="24"/>
        </w:rPr>
        <w:t>35.294</w:t>
      </w:r>
      <w:r>
        <w:rPr>
          <w:rFonts w:hint="default"/>
          <w:color w:val="000000"/>
          <w:sz w:val="24"/>
          <w:szCs w:val="24"/>
        </w:rPr>
        <w:t>″，N 22°</w:t>
      </w:r>
      <w:r>
        <w:rPr>
          <w:rFonts w:hint="eastAsia" w:ascii="Times New Roman" w:eastAsia="宋体"/>
          <w:color w:val="000000"/>
          <w:sz w:val="24"/>
          <w:szCs w:val="24"/>
          <w:lang w:val="en-US" w:eastAsia="zh-CN"/>
        </w:rPr>
        <w:t>49</w:t>
      </w:r>
      <w:r>
        <w:rPr>
          <w:rFonts w:hint="default"/>
          <w:color w:val="000000"/>
          <w:sz w:val="24"/>
          <w:szCs w:val="24"/>
        </w:rPr>
        <w:t>'</w:t>
      </w:r>
      <w:r>
        <w:rPr>
          <w:rFonts w:hint="eastAsia"/>
          <w:color w:val="000000"/>
          <w:sz w:val="24"/>
          <w:szCs w:val="24"/>
        </w:rPr>
        <w:t>5.704</w:t>
      </w:r>
      <w:r>
        <w:rPr>
          <w:rFonts w:hint="default"/>
          <w:color w:val="000000"/>
          <w:sz w:val="24"/>
          <w:szCs w:val="24"/>
        </w:rPr>
        <w:t>"</w:t>
      </w:r>
      <w:r>
        <w:rPr>
          <w:rFonts w:hint="eastAsia"/>
          <w:color w:val="000000"/>
        </w:rPr>
        <w:t>，</w:t>
      </w:r>
      <w:r>
        <w:rPr>
          <w:rFonts w:hint="default"/>
          <w:color w:val="000000"/>
        </w:rPr>
        <w:t>占地面积</w:t>
      </w:r>
      <w:r>
        <w:rPr>
          <w:rFonts w:hint="eastAsia" w:ascii="Times New Roman" w:eastAsia="宋体"/>
          <w:color w:val="000000"/>
          <w:lang w:val="en-US" w:eastAsia="zh-CN"/>
        </w:rPr>
        <w:t>1708</w:t>
      </w:r>
      <w:r>
        <w:rPr>
          <w:rFonts w:hint="default"/>
          <w:color w:val="000000"/>
        </w:rPr>
        <w:t>m</w:t>
      </w:r>
      <w:r>
        <w:rPr>
          <w:rFonts w:hint="default"/>
          <w:color w:val="000000"/>
          <w:vertAlign w:val="superscript"/>
        </w:rPr>
        <w:t>2</w:t>
      </w:r>
      <w:r>
        <w:rPr>
          <w:rFonts w:hint="default"/>
          <w:color w:val="000000"/>
        </w:rPr>
        <w:t>，建筑面积</w:t>
      </w:r>
      <w:r>
        <w:rPr>
          <w:rFonts w:hint="eastAsia" w:ascii="Times New Roman" w:eastAsia="宋体"/>
          <w:bCs/>
          <w:color w:val="000000"/>
          <w:lang w:val="en-US" w:eastAsia="zh-CN"/>
        </w:rPr>
        <w:t>1708</w:t>
      </w:r>
      <w:r>
        <w:rPr>
          <w:rFonts w:hint="default"/>
          <w:color w:val="000000"/>
        </w:rPr>
        <w:t>m</w:t>
      </w:r>
      <w:r>
        <w:rPr>
          <w:rFonts w:hint="default"/>
          <w:color w:val="000000"/>
          <w:vertAlign w:val="superscript"/>
        </w:rPr>
        <w:t>2</w:t>
      </w:r>
      <w:r>
        <w:rPr>
          <w:rFonts w:hint="eastAsia"/>
          <w:color w:val="000000"/>
        </w:rPr>
        <w:t>，</w:t>
      </w:r>
      <w:r>
        <w:rPr>
          <w:rFonts w:hint="eastAsia" w:eastAsia="宋体"/>
          <w:color w:val="000000"/>
          <w:lang w:eastAsia="zh-CN"/>
        </w:rPr>
        <w:t>本项目</w:t>
      </w:r>
      <w:r>
        <w:rPr>
          <w:rFonts w:hint="eastAsia"/>
          <w:color w:val="000000"/>
        </w:rPr>
        <w:t>环保投资</w:t>
      </w:r>
      <w:r>
        <w:rPr>
          <w:rFonts w:hint="default"/>
          <w:color w:val="000000"/>
        </w:rPr>
        <w:t>20</w:t>
      </w:r>
      <w:r>
        <w:rPr>
          <w:rFonts w:hint="eastAsia"/>
          <w:color w:val="000000"/>
        </w:rPr>
        <w:t>万元，占总投资额的</w:t>
      </w:r>
      <w:r>
        <w:rPr>
          <w:rFonts w:hint="default"/>
          <w:color w:val="000000"/>
        </w:rPr>
        <w:t>10%</w:t>
      </w:r>
      <w:r>
        <w:rPr>
          <w:rFonts w:hint="eastAsia"/>
          <w:color w:val="000000"/>
        </w:rPr>
        <w:t>。</w:t>
      </w:r>
      <w:r>
        <w:rPr>
          <w:rFonts w:hint="eastAsia" w:eastAsia="宋体"/>
          <w:color w:val="000000"/>
          <w:lang w:eastAsia="zh-CN"/>
        </w:rPr>
        <w:t>本项目</w:t>
      </w:r>
      <w:r>
        <w:rPr>
          <w:rFonts w:hint="eastAsia"/>
          <w:color w:val="000000"/>
        </w:rPr>
        <w:t>年产吸塑包装制品约396吨，其产品主要为吸塑托盘及吸塑包装盒。</w:t>
      </w:r>
      <w:r>
        <w:rPr>
          <w:rFonts w:hint="eastAsia"/>
          <w:color w:val="000000"/>
          <w:lang w:val="en-US" w:eastAsia="zh-CN"/>
        </w:rPr>
        <w:t>本项目</w:t>
      </w:r>
      <w:r>
        <w:rPr>
          <w:rFonts w:hint="eastAsia"/>
          <w:color w:val="000000"/>
        </w:rPr>
        <w:t>聘用员工</w:t>
      </w:r>
      <w:r>
        <w:rPr>
          <w:rFonts w:hint="eastAsia" w:ascii="Times New Roman" w:eastAsia="宋体"/>
          <w:color w:val="000000"/>
          <w:lang w:val="en-US" w:eastAsia="zh-CN"/>
        </w:rPr>
        <w:t>25</w:t>
      </w:r>
      <w:r>
        <w:rPr>
          <w:rFonts w:hint="eastAsia"/>
          <w:color w:val="000000"/>
        </w:rPr>
        <w:t>人，年工作</w:t>
      </w:r>
      <w:r>
        <w:rPr>
          <w:rFonts w:hint="default"/>
          <w:color w:val="000000"/>
        </w:rPr>
        <w:t>3</w:t>
      </w:r>
      <w:r>
        <w:rPr>
          <w:rFonts w:hint="eastAsia" w:ascii="Times New Roman" w:eastAsia="宋体"/>
          <w:color w:val="000000"/>
          <w:lang w:val="en-US" w:eastAsia="zh-CN"/>
        </w:rPr>
        <w:t>0</w:t>
      </w:r>
      <w:r>
        <w:rPr>
          <w:rFonts w:hint="default"/>
          <w:color w:val="000000"/>
        </w:rPr>
        <w:t>0</w:t>
      </w:r>
      <w:r>
        <w:rPr>
          <w:rFonts w:hint="eastAsia"/>
          <w:color w:val="000000"/>
        </w:rPr>
        <w:t>天，</w:t>
      </w:r>
      <w:r>
        <w:rPr>
          <w:rFonts w:hint="default"/>
          <w:color w:val="000000"/>
        </w:rPr>
        <w:t>采取1班制，每班工作8小时，员工</w:t>
      </w:r>
      <w:r>
        <w:rPr>
          <w:rFonts w:hint="eastAsia"/>
          <w:color w:val="000000"/>
        </w:rPr>
        <w:t>均不在</w:t>
      </w:r>
      <w:r>
        <w:rPr>
          <w:rFonts w:hint="default"/>
          <w:color w:val="000000"/>
        </w:rPr>
        <w:t>项目内食宿</w:t>
      </w:r>
      <w:r>
        <w:rPr>
          <w:rFonts w:hint="eastAsia" w:cs="Times New Roman"/>
          <w:kern w:val="0"/>
          <w:szCs w:val="28"/>
        </w:rPr>
        <w:t>。建设地点、规模、主要建设内容</w:t>
      </w:r>
      <w:r>
        <w:rPr>
          <w:rFonts w:hint="eastAsia"/>
          <w:snapToGrid w:val="0"/>
          <w:color w:val="000000" w:themeColor="text1"/>
        </w:rPr>
        <w:t>与环评及批复要求基本一致，满足验收要求。</w:t>
      </w:r>
    </w:p>
    <w:p w14:paraId="7FD21673">
      <w:pPr>
        <w:snapToGrid w:val="0"/>
        <w:spacing w:line="360" w:lineRule="auto"/>
        <w:ind w:firstLine="482" w:firstLineChars="200"/>
        <w:rPr>
          <w:b/>
          <w:bCs/>
          <w:snapToGrid w:val="0"/>
          <w:color w:val="000000" w:themeColor="text1"/>
        </w:rPr>
      </w:pPr>
      <w:r>
        <w:rPr>
          <w:b/>
          <w:bCs/>
          <w:snapToGrid w:val="0"/>
          <w:color w:val="000000" w:themeColor="text1"/>
        </w:rPr>
        <w:t>2</w:t>
      </w:r>
      <w:r>
        <w:rPr>
          <w:rFonts w:hint="eastAsia"/>
          <w:b/>
          <w:bCs/>
          <w:snapToGrid w:val="0"/>
          <w:color w:val="000000" w:themeColor="text1"/>
        </w:rPr>
        <w:t>、建设过程及环保审批情况</w:t>
      </w:r>
    </w:p>
    <w:p w14:paraId="2AA5EFC3">
      <w:pPr>
        <w:snapToGrid w:val="0"/>
        <w:spacing w:line="360" w:lineRule="auto"/>
        <w:ind w:firstLine="480" w:firstLineChars="200"/>
        <w:rPr>
          <w:snapToGrid w:val="0"/>
          <w:color w:val="000000" w:themeColor="text1"/>
        </w:rPr>
      </w:pPr>
      <w:r>
        <w:rPr>
          <w:rFonts w:hint="eastAsia" w:cs="Times New Roman"/>
          <w:kern w:val="0"/>
          <w:szCs w:val="22"/>
          <w:lang w:eastAsia="zh-CN"/>
        </w:rPr>
        <w:t>202</w:t>
      </w:r>
      <w:r>
        <w:rPr>
          <w:rFonts w:hint="eastAsia" w:cs="Times New Roman"/>
          <w:kern w:val="0"/>
          <w:szCs w:val="22"/>
          <w:lang w:val="en-US" w:eastAsia="zh-CN"/>
        </w:rPr>
        <w:t>5</w:t>
      </w:r>
      <w:r>
        <w:rPr>
          <w:rFonts w:hint="eastAsia" w:cs="Times New Roman"/>
          <w:kern w:val="0"/>
          <w:szCs w:val="22"/>
          <w:lang w:eastAsia="zh-CN"/>
        </w:rPr>
        <w:t>年</w:t>
      </w:r>
      <w:r>
        <w:rPr>
          <w:rFonts w:hint="eastAsia" w:cs="Times New Roman"/>
          <w:kern w:val="0"/>
          <w:szCs w:val="22"/>
          <w:lang w:val="en-US" w:eastAsia="zh-CN"/>
        </w:rPr>
        <w:t>1</w:t>
      </w:r>
      <w:r>
        <w:rPr>
          <w:rFonts w:hint="eastAsia" w:cs="Times New Roman"/>
          <w:kern w:val="0"/>
          <w:szCs w:val="22"/>
          <w:lang w:eastAsia="zh-CN"/>
        </w:rPr>
        <w:t>月广州市闽兴包装科技有限公司委托</w:t>
      </w:r>
      <w:r>
        <w:rPr>
          <w:rFonts w:hint="eastAsia" w:cs="Times New Roman"/>
          <w:kern w:val="0"/>
          <w:szCs w:val="22"/>
          <w:lang w:val="en-US" w:eastAsia="zh-CN"/>
        </w:rPr>
        <w:t>广州科绿</w:t>
      </w:r>
      <w:r>
        <w:rPr>
          <w:rFonts w:hint="eastAsia" w:cs="Times New Roman"/>
          <w:kern w:val="0"/>
          <w:szCs w:val="22"/>
          <w:lang w:eastAsia="zh-CN"/>
        </w:rPr>
        <w:t>环保科技有限公司编制《广州市闽兴包装科技有限公司</w:t>
      </w:r>
      <w:r>
        <w:rPr>
          <w:rFonts w:hint="eastAsia" w:cs="Times New Roman"/>
          <w:kern w:val="0"/>
          <w:szCs w:val="22"/>
          <w:lang w:val="en-US" w:eastAsia="zh-CN"/>
        </w:rPr>
        <w:t>迁改建</w:t>
      </w:r>
      <w:r>
        <w:rPr>
          <w:rFonts w:hint="eastAsia" w:cs="Times New Roman"/>
          <w:kern w:val="0"/>
          <w:szCs w:val="22"/>
          <w:lang w:eastAsia="zh-CN"/>
        </w:rPr>
        <w:t>项目环境影响报告表》，并于202</w:t>
      </w:r>
      <w:r>
        <w:rPr>
          <w:rFonts w:hint="eastAsia" w:cs="Times New Roman"/>
          <w:kern w:val="0"/>
          <w:szCs w:val="22"/>
          <w:lang w:val="en-US" w:eastAsia="zh-CN"/>
        </w:rPr>
        <w:t>5</w:t>
      </w:r>
      <w:r>
        <w:rPr>
          <w:rFonts w:hint="eastAsia" w:cs="Times New Roman"/>
          <w:kern w:val="0"/>
          <w:szCs w:val="22"/>
          <w:lang w:eastAsia="zh-CN"/>
        </w:rPr>
        <w:t>年</w:t>
      </w:r>
      <w:r>
        <w:rPr>
          <w:rFonts w:hint="eastAsia" w:cs="Times New Roman"/>
          <w:kern w:val="0"/>
          <w:szCs w:val="22"/>
          <w:lang w:val="en-US" w:eastAsia="zh-CN"/>
        </w:rPr>
        <w:t>2</w:t>
      </w:r>
      <w:r>
        <w:rPr>
          <w:rFonts w:hint="eastAsia" w:cs="Times New Roman"/>
          <w:kern w:val="0"/>
          <w:szCs w:val="22"/>
          <w:lang w:eastAsia="zh-CN"/>
        </w:rPr>
        <w:t>月1</w:t>
      </w:r>
      <w:r>
        <w:rPr>
          <w:rFonts w:hint="eastAsia" w:cs="Times New Roman"/>
          <w:kern w:val="0"/>
          <w:szCs w:val="22"/>
          <w:lang w:val="en-US" w:eastAsia="zh-CN"/>
        </w:rPr>
        <w:t>4</w:t>
      </w:r>
      <w:r>
        <w:rPr>
          <w:rFonts w:hint="eastAsia" w:cs="Times New Roman"/>
          <w:kern w:val="0"/>
          <w:szCs w:val="22"/>
          <w:lang w:eastAsia="zh-CN"/>
        </w:rPr>
        <w:t>日取得环评批复</w:t>
      </w:r>
      <w:r>
        <w:rPr>
          <w:rFonts w:hint="eastAsia" w:cs="Times New Roman"/>
          <w:kern w:val="0"/>
          <w:szCs w:val="22"/>
        </w:rPr>
        <w:t>。</w:t>
      </w:r>
      <w:r>
        <w:rPr>
          <w:rFonts w:hint="eastAsia" w:cs="Times New Roman"/>
          <w:kern w:val="0"/>
          <w:szCs w:val="22"/>
          <w:lang w:val="en-US" w:eastAsia="zh-CN"/>
        </w:rPr>
        <w:t>在取得环评批复后</w:t>
      </w:r>
      <w:r>
        <w:rPr>
          <w:rFonts w:hint="eastAsia" w:cs="Times New Roman"/>
          <w:kern w:val="0"/>
          <w:szCs w:val="22"/>
        </w:rPr>
        <w:t>开工建设，于202</w:t>
      </w:r>
      <w:r>
        <w:rPr>
          <w:rFonts w:hint="eastAsia" w:cs="Times New Roman"/>
          <w:kern w:val="0"/>
          <w:szCs w:val="22"/>
          <w:lang w:val="en-US" w:eastAsia="zh-CN"/>
        </w:rPr>
        <w:t>5</w:t>
      </w:r>
      <w:r>
        <w:rPr>
          <w:rFonts w:hint="eastAsia" w:cs="Times New Roman"/>
          <w:kern w:val="0"/>
          <w:szCs w:val="22"/>
        </w:rPr>
        <w:t>年</w:t>
      </w:r>
      <w:r>
        <w:rPr>
          <w:rFonts w:hint="eastAsia" w:cs="Times New Roman"/>
          <w:kern w:val="0"/>
          <w:szCs w:val="22"/>
          <w:lang w:val="en-US" w:eastAsia="zh-CN"/>
        </w:rPr>
        <w:t>3</w:t>
      </w:r>
      <w:r>
        <w:rPr>
          <w:rFonts w:hint="eastAsia" w:cs="Times New Roman"/>
          <w:kern w:val="0"/>
          <w:szCs w:val="22"/>
        </w:rPr>
        <w:t>月</w:t>
      </w:r>
      <w:r>
        <w:rPr>
          <w:rFonts w:hint="eastAsia" w:cs="Times New Roman"/>
          <w:kern w:val="0"/>
          <w:szCs w:val="22"/>
          <w:lang w:val="en-US" w:eastAsia="zh-CN"/>
        </w:rPr>
        <w:t>20</w:t>
      </w:r>
      <w:r>
        <w:rPr>
          <w:rFonts w:hint="eastAsia" w:cs="Times New Roman"/>
          <w:kern w:val="0"/>
          <w:szCs w:val="22"/>
        </w:rPr>
        <w:t>日建成并开始进入试投产调试阶段。</w:t>
      </w:r>
      <w:r>
        <w:rPr>
          <w:rFonts w:hint="eastAsia"/>
          <w:snapToGrid w:val="0"/>
          <w:color w:val="000000" w:themeColor="text1"/>
        </w:rPr>
        <w:t>于202</w:t>
      </w:r>
      <w:r>
        <w:rPr>
          <w:rFonts w:hint="eastAsia"/>
          <w:snapToGrid w:val="0"/>
          <w:color w:val="000000" w:themeColor="text1"/>
          <w:lang w:val="en-US" w:eastAsia="zh-CN"/>
        </w:rPr>
        <w:t>5</w:t>
      </w:r>
      <w:r>
        <w:rPr>
          <w:rFonts w:hint="eastAsia"/>
          <w:snapToGrid w:val="0"/>
          <w:color w:val="000000" w:themeColor="text1"/>
        </w:rPr>
        <w:t>年</w:t>
      </w:r>
      <w:r>
        <w:rPr>
          <w:rFonts w:hint="eastAsia"/>
          <w:snapToGrid w:val="0"/>
          <w:color w:val="000000" w:themeColor="text1"/>
          <w:lang w:val="en-US" w:eastAsia="zh-CN"/>
        </w:rPr>
        <w:t>4</w:t>
      </w:r>
      <w:r>
        <w:rPr>
          <w:rFonts w:hint="eastAsia"/>
          <w:snapToGrid w:val="0"/>
          <w:color w:val="000000" w:themeColor="text1"/>
        </w:rPr>
        <w:t>月</w:t>
      </w:r>
      <w:r>
        <w:rPr>
          <w:rFonts w:hint="eastAsia"/>
          <w:snapToGrid w:val="0"/>
          <w:color w:val="000000" w:themeColor="text1"/>
          <w:lang w:val="en-US" w:eastAsia="zh-CN"/>
        </w:rPr>
        <w:t>10</w:t>
      </w:r>
      <w:r>
        <w:rPr>
          <w:rFonts w:hint="eastAsia"/>
          <w:snapToGrid w:val="0"/>
          <w:color w:val="000000" w:themeColor="text1"/>
        </w:rPr>
        <w:t>~</w:t>
      </w:r>
      <w:r>
        <w:rPr>
          <w:rFonts w:hint="eastAsia"/>
          <w:snapToGrid w:val="0"/>
          <w:color w:val="000000" w:themeColor="text1"/>
          <w:lang w:val="en-US" w:eastAsia="zh-CN"/>
        </w:rPr>
        <w:t>11</w:t>
      </w:r>
      <w:r>
        <w:rPr>
          <w:rFonts w:hint="eastAsia"/>
          <w:snapToGrid w:val="0"/>
          <w:color w:val="000000" w:themeColor="text1"/>
        </w:rPr>
        <w:t>日</w:t>
      </w:r>
      <w:r>
        <w:rPr>
          <w:rFonts w:hint="eastAsia"/>
          <w:snapToGrid w:val="0"/>
          <w:color w:val="000000" w:themeColor="text1"/>
          <w:lang w:val="en-US" w:eastAsia="zh-CN"/>
        </w:rPr>
        <w:t>委托广东环绿检测技术有限公司</w:t>
      </w:r>
      <w:r>
        <w:rPr>
          <w:rFonts w:hint="eastAsia"/>
          <w:snapToGrid w:val="0"/>
          <w:color w:val="000000" w:themeColor="text1"/>
        </w:rPr>
        <w:t>进行现场勘查及取样监测，本项目竣工环境保护验收监测期间各项污染治理设施运行正常，生产负荷达到</w:t>
      </w:r>
      <w:r>
        <w:rPr>
          <w:rFonts w:hint="eastAsia"/>
          <w:snapToGrid w:val="0"/>
          <w:color w:val="000000" w:themeColor="text1"/>
          <w:lang w:val="en-US" w:eastAsia="zh-CN"/>
        </w:rPr>
        <w:t>9</w:t>
      </w:r>
      <w:r>
        <w:rPr>
          <w:rFonts w:hint="eastAsia"/>
          <w:snapToGrid w:val="0"/>
          <w:color w:val="000000" w:themeColor="text1"/>
        </w:rPr>
        <w:t>0%以上。</w:t>
      </w:r>
    </w:p>
    <w:p w14:paraId="4456BE1A">
      <w:pPr>
        <w:snapToGrid w:val="0"/>
        <w:spacing w:line="360" w:lineRule="auto"/>
        <w:ind w:firstLine="482" w:firstLineChars="200"/>
        <w:rPr>
          <w:b/>
          <w:bCs/>
          <w:snapToGrid w:val="0"/>
          <w:color w:val="000000" w:themeColor="text1"/>
        </w:rPr>
      </w:pPr>
      <w:r>
        <w:rPr>
          <w:rFonts w:hint="eastAsia"/>
          <w:b/>
          <w:bCs/>
          <w:snapToGrid w:val="0"/>
          <w:color w:val="000000" w:themeColor="text1"/>
        </w:rPr>
        <w:t>3、投资情况</w:t>
      </w:r>
    </w:p>
    <w:p w14:paraId="273649DD">
      <w:pPr>
        <w:snapToGrid w:val="0"/>
        <w:spacing w:line="360" w:lineRule="auto"/>
        <w:ind w:firstLine="480" w:firstLineChars="200"/>
        <w:rPr>
          <w:snapToGrid w:val="0"/>
          <w:color w:val="000000" w:themeColor="text1"/>
        </w:rPr>
      </w:pPr>
      <w:r>
        <w:rPr>
          <w:rFonts w:hint="eastAsia"/>
          <w:lang w:val="en-US" w:eastAsia="zh-CN"/>
        </w:rPr>
        <w:t>本</w:t>
      </w:r>
      <w:r>
        <w:rPr>
          <w:rFonts w:hint="eastAsia"/>
        </w:rPr>
        <w:t>项目总投资</w:t>
      </w:r>
      <w:r>
        <w:rPr>
          <w:rFonts w:hint="eastAsia"/>
          <w:lang w:val="en-US" w:eastAsia="zh-CN"/>
        </w:rPr>
        <w:t>200</w:t>
      </w:r>
      <w:r>
        <w:rPr>
          <w:rFonts w:hint="eastAsia"/>
        </w:rPr>
        <w:t>万元，其中环保投资</w:t>
      </w:r>
      <w:r>
        <w:rPr>
          <w:rFonts w:hint="eastAsia"/>
          <w:lang w:val="en-US" w:eastAsia="zh-CN"/>
        </w:rPr>
        <w:t>20</w:t>
      </w:r>
      <w:r>
        <w:rPr>
          <w:rFonts w:hint="eastAsia"/>
        </w:rPr>
        <w:t>万元</w:t>
      </w:r>
      <w:r>
        <w:rPr>
          <w:rFonts w:hint="eastAsia"/>
          <w:snapToGrid w:val="0"/>
          <w:color w:val="000000" w:themeColor="text1"/>
        </w:rPr>
        <w:t>。</w:t>
      </w:r>
    </w:p>
    <w:p w14:paraId="579F53D2">
      <w:pPr>
        <w:snapToGrid w:val="0"/>
        <w:spacing w:line="360" w:lineRule="auto"/>
        <w:ind w:firstLine="482" w:firstLineChars="200"/>
        <w:rPr>
          <w:b/>
          <w:bCs/>
          <w:snapToGrid w:val="0"/>
          <w:color w:val="000000" w:themeColor="text1"/>
        </w:rPr>
      </w:pPr>
      <w:r>
        <w:rPr>
          <w:b/>
          <w:bCs/>
          <w:snapToGrid w:val="0"/>
          <w:color w:val="000000" w:themeColor="text1"/>
        </w:rPr>
        <w:t>4</w:t>
      </w:r>
      <w:r>
        <w:rPr>
          <w:rFonts w:hint="eastAsia"/>
          <w:b/>
          <w:bCs/>
          <w:snapToGrid w:val="0"/>
          <w:color w:val="000000" w:themeColor="text1"/>
        </w:rPr>
        <w:t>、验收范围</w:t>
      </w:r>
    </w:p>
    <w:p w14:paraId="05A13D11">
      <w:pPr>
        <w:snapToGrid w:val="0"/>
        <w:spacing w:line="360" w:lineRule="auto"/>
        <w:ind w:firstLine="480" w:firstLineChars="200"/>
        <w:rPr>
          <w:snapToGrid w:val="0"/>
          <w:color w:val="000000" w:themeColor="text1"/>
        </w:rPr>
      </w:pPr>
      <w:r>
        <w:rPr>
          <w:rFonts w:hint="eastAsia"/>
          <w:snapToGrid w:val="0"/>
          <w:color w:val="000000" w:themeColor="text1"/>
        </w:rPr>
        <w:t>本次验收范围包括：《</w:t>
      </w:r>
      <w:r>
        <w:rPr>
          <w:rFonts w:hint="eastAsia"/>
          <w:snapToGrid w:val="0"/>
          <w:color w:val="000000" w:themeColor="text1"/>
          <w:lang w:eastAsia="zh-CN"/>
        </w:rPr>
        <w:t>广州市闽兴包装科技有限公司迁改建项目环境影响评价报告表</w:t>
      </w:r>
      <w:r>
        <w:rPr>
          <w:rFonts w:hint="eastAsia"/>
          <w:snapToGrid w:val="0"/>
          <w:color w:val="000000" w:themeColor="text1"/>
        </w:rPr>
        <w:t>》</w:t>
      </w:r>
      <w:r>
        <w:rPr>
          <w:rFonts w:hint="eastAsia"/>
          <w:snapToGrid w:val="0"/>
          <w:color w:val="000000" w:themeColor="text1"/>
          <w:lang w:val="en-US" w:eastAsia="zh-CN"/>
        </w:rPr>
        <w:t>以及</w:t>
      </w:r>
      <w:r>
        <w:rPr>
          <w:rFonts w:hint="eastAsia"/>
        </w:rPr>
        <w:t>《关于广州市闽兴包装科技有限公司迁改建项目环境影响评价报告表的批复》（穗南审批环评〔2025〕18号）的内容。</w:t>
      </w:r>
    </w:p>
    <w:p w14:paraId="3C9ADA92">
      <w:pPr>
        <w:snapToGrid w:val="0"/>
        <w:spacing w:line="360" w:lineRule="auto"/>
        <w:ind w:firstLine="200"/>
        <w:rPr>
          <w:b/>
          <w:bCs/>
          <w:snapToGrid w:val="0"/>
          <w:color w:val="000000" w:themeColor="text1"/>
        </w:rPr>
      </w:pPr>
      <w:r>
        <w:rPr>
          <w:rFonts w:hint="eastAsia"/>
          <w:b/>
          <w:bCs/>
          <w:snapToGrid w:val="0"/>
          <w:color w:val="000000" w:themeColor="text1"/>
        </w:rPr>
        <w:t>二、工程变动情况</w:t>
      </w:r>
    </w:p>
    <w:p w14:paraId="5CCC7D86">
      <w:pPr>
        <w:snapToGrid w:val="0"/>
        <w:spacing w:line="360" w:lineRule="auto"/>
        <w:ind w:firstLine="480" w:firstLineChars="200"/>
        <w:rPr>
          <w:snapToGrid w:val="0"/>
          <w:color w:val="000000" w:themeColor="text1"/>
        </w:rPr>
      </w:pPr>
      <w:r>
        <w:rPr>
          <w:rFonts w:hint="eastAsia"/>
          <w:snapToGrid w:val="0"/>
          <w:color w:val="000000" w:themeColor="text1"/>
        </w:rPr>
        <w:t>本项目建设内容与环评及批复基本一致，不存在重大变更。</w:t>
      </w:r>
    </w:p>
    <w:p w14:paraId="0137BAE5">
      <w:pPr>
        <w:snapToGrid w:val="0"/>
        <w:spacing w:line="360" w:lineRule="auto"/>
        <w:ind w:firstLine="200"/>
        <w:rPr>
          <w:b/>
          <w:bCs/>
          <w:snapToGrid w:val="0"/>
          <w:color w:val="000000" w:themeColor="text1"/>
        </w:rPr>
      </w:pPr>
      <w:r>
        <w:rPr>
          <w:rFonts w:hint="eastAsia"/>
          <w:b/>
          <w:bCs/>
          <w:snapToGrid w:val="0"/>
          <w:color w:val="000000" w:themeColor="text1"/>
        </w:rPr>
        <w:t>三、环境保护设施建设及污染控制措施情况</w:t>
      </w:r>
    </w:p>
    <w:p w14:paraId="0E67500E">
      <w:pPr>
        <w:snapToGrid w:val="0"/>
        <w:spacing w:line="360" w:lineRule="auto"/>
        <w:ind w:firstLine="482" w:firstLineChars="200"/>
        <w:rPr>
          <w:b/>
          <w:bCs/>
          <w:snapToGrid w:val="0"/>
          <w:color w:val="000000" w:themeColor="text1"/>
        </w:rPr>
      </w:pPr>
      <w:r>
        <w:rPr>
          <w:rFonts w:hint="eastAsia"/>
          <w:b/>
          <w:bCs/>
          <w:snapToGrid w:val="0"/>
          <w:color w:val="000000" w:themeColor="text1"/>
        </w:rPr>
        <w:t>1、废水处理设施</w:t>
      </w:r>
    </w:p>
    <w:p w14:paraId="4D611C03">
      <w:pPr>
        <w:adjustRightInd w:val="0"/>
        <w:snapToGrid w:val="0"/>
        <w:spacing w:line="360" w:lineRule="auto"/>
        <w:ind w:firstLine="480" w:firstLineChars="200"/>
        <w:rPr>
          <w:rFonts w:cs="Times New Roman"/>
          <w:bCs/>
        </w:rPr>
      </w:pPr>
      <w:r>
        <w:rPr>
          <w:rFonts w:hint="eastAsia" w:cs="Times New Roman"/>
          <w:bCs/>
        </w:rPr>
        <w:t>本项目</w:t>
      </w:r>
      <w:r>
        <w:rPr>
          <w:rFonts w:hint="eastAsia" w:cs="Times New Roman"/>
          <w:bCs/>
          <w:lang w:val="en-US" w:eastAsia="zh-CN"/>
        </w:rPr>
        <w:t>外排废水为</w:t>
      </w:r>
      <w:r>
        <w:rPr>
          <w:rFonts w:hint="eastAsia" w:cs="Times New Roman"/>
          <w:bCs/>
        </w:rPr>
        <w:t>生活污水</w:t>
      </w:r>
      <w:r>
        <w:rPr>
          <w:rFonts w:hint="eastAsia" w:cs="Times New Roman"/>
          <w:bCs/>
          <w:lang w:val="en-US" w:eastAsia="zh-CN"/>
        </w:rPr>
        <w:t>，依</w:t>
      </w:r>
      <w:r>
        <w:rPr>
          <w:rFonts w:hint="eastAsia" w:cs="Times New Roman"/>
          <w:bCs/>
        </w:rPr>
        <w:t>托</w:t>
      </w:r>
      <w:r>
        <w:rPr>
          <w:rFonts w:hint="eastAsia" w:cs="Times New Roman"/>
          <w:bCs/>
          <w:lang w:val="en-US" w:eastAsia="zh-CN"/>
        </w:rPr>
        <w:t>园区</w:t>
      </w:r>
      <w:r>
        <w:rPr>
          <w:rFonts w:hint="eastAsia" w:cs="Times New Roman"/>
          <w:bCs/>
        </w:rPr>
        <w:t>污水</w:t>
      </w:r>
      <w:r>
        <w:rPr>
          <w:rFonts w:hint="eastAsia" w:cs="Times New Roman"/>
          <w:bCs/>
          <w:lang w:val="en-US" w:eastAsia="zh-CN"/>
        </w:rPr>
        <w:t>处理</w:t>
      </w:r>
      <w:r>
        <w:rPr>
          <w:rFonts w:hint="eastAsia" w:cs="Times New Roman"/>
          <w:bCs/>
        </w:rPr>
        <w:t>设施处理达标后经上横栏涌排入蕉门水道。</w:t>
      </w:r>
    </w:p>
    <w:p w14:paraId="017C0B94">
      <w:pPr>
        <w:snapToGrid w:val="0"/>
        <w:spacing w:line="360" w:lineRule="auto"/>
        <w:ind w:firstLine="482" w:firstLineChars="200"/>
        <w:rPr>
          <w:b/>
          <w:bCs/>
          <w:snapToGrid w:val="0"/>
          <w:color w:val="000000" w:themeColor="text1"/>
        </w:rPr>
      </w:pPr>
      <w:r>
        <w:rPr>
          <w:rFonts w:hint="eastAsia"/>
          <w:b/>
          <w:bCs/>
          <w:snapToGrid w:val="0"/>
          <w:color w:val="000000" w:themeColor="text1"/>
        </w:rPr>
        <w:t>2、废气处理设施</w:t>
      </w:r>
    </w:p>
    <w:p w14:paraId="2256DC4A">
      <w:pPr>
        <w:adjustRightInd w:val="0"/>
        <w:snapToGrid w:val="0"/>
        <w:spacing w:line="360" w:lineRule="auto"/>
        <w:ind w:firstLine="480" w:firstLineChars="200"/>
        <w:rPr>
          <w:rFonts w:cs="Times New Roman"/>
          <w:bCs/>
        </w:rPr>
      </w:pPr>
      <w:r>
        <w:rPr>
          <w:rFonts w:hint="eastAsia" w:cs="Times New Roman"/>
          <w:bCs/>
          <w:lang w:val="en-US" w:eastAsia="zh-CN"/>
        </w:rPr>
        <w:t>本项目打样机和吸塑机上方设置集气罩对生产过程产生的废气进行收集处理，收集后的废气进入项目设置的“二级活性炭吸附装置”进行处理后由离地15m高的排气筒DA001进行排放，未被收集的打样、吸塑废气通过车间通排风系统以无组织形式排入大气环境</w:t>
      </w:r>
      <w:r>
        <w:rPr>
          <w:rFonts w:hint="eastAsia" w:cs="Times New Roman"/>
          <w:bCs/>
        </w:rPr>
        <w:t>。</w:t>
      </w:r>
    </w:p>
    <w:p w14:paraId="7CFD716B">
      <w:pPr>
        <w:snapToGrid w:val="0"/>
        <w:spacing w:line="360" w:lineRule="auto"/>
        <w:ind w:firstLine="482" w:firstLineChars="200"/>
        <w:rPr>
          <w:b/>
          <w:bCs/>
          <w:snapToGrid w:val="0"/>
          <w:color w:val="000000" w:themeColor="text1"/>
        </w:rPr>
      </w:pPr>
      <w:r>
        <w:rPr>
          <w:rFonts w:hint="eastAsia"/>
          <w:b/>
          <w:bCs/>
          <w:snapToGrid w:val="0"/>
          <w:color w:val="000000" w:themeColor="text1"/>
        </w:rPr>
        <w:t>3、噪声</w:t>
      </w:r>
    </w:p>
    <w:p w14:paraId="24E4723C">
      <w:pPr>
        <w:adjustRightInd w:val="0"/>
        <w:snapToGrid w:val="0"/>
        <w:spacing w:line="360" w:lineRule="auto"/>
        <w:ind w:firstLine="480" w:firstLineChars="200"/>
        <w:rPr>
          <w:rFonts w:cs="Times New Roman"/>
          <w:bCs/>
        </w:rPr>
      </w:pPr>
      <w:r>
        <w:rPr>
          <w:rFonts w:hint="eastAsia" w:cs="Times New Roman"/>
          <w:bCs/>
        </w:rPr>
        <w:t>本项目主要的噪声源为</w:t>
      </w:r>
      <w:r>
        <w:rPr>
          <w:rFonts w:hint="eastAsia" w:cs="Times New Roman"/>
          <w:bCs/>
          <w:lang w:val="en-US" w:eastAsia="zh-CN"/>
        </w:rPr>
        <w:t>生产</w:t>
      </w:r>
      <w:r>
        <w:rPr>
          <w:rFonts w:hint="eastAsia" w:cs="Times New Roman"/>
          <w:bCs/>
        </w:rPr>
        <w:t>设备运行时产生的噪声，拟采用墙体隔声、基础减震、距离衰减等降噪措施处理。</w:t>
      </w:r>
    </w:p>
    <w:p w14:paraId="650B6E96">
      <w:pPr>
        <w:snapToGrid w:val="0"/>
        <w:spacing w:line="360" w:lineRule="auto"/>
        <w:ind w:firstLine="482" w:firstLineChars="200"/>
        <w:rPr>
          <w:b/>
          <w:bCs/>
          <w:snapToGrid w:val="0"/>
          <w:color w:val="000000" w:themeColor="text1"/>
        </w:rPr>
      </w:pPr>
      <w:r>
        <w:rPr>
          <w:rFonts w:hint="eastAsia"/>
          <w:b/>
          <w:bCs/>
          <w:snapToGrid w:val="0"/>
          <w:color w:val="000000" w:themeColor="text1"/>
        </w:rPr>
        <w:t>4、固废</w:t>
      </w:r>
    </w:p>
    <w:p w14:paraId="14EDF5FB">
      <w:pPr>
        <w:snapToGrid w:val="0"/>
        <w:spacing w:line="360" w:lineRule="auto"/>
        <w:ind w:firstLine="480" w:firstLineChars="200"/>
        <w:rPr>
          <w:snapToGrid w:val="0"/>
          <w:color w:val="000000" w:themeColor="text1"/>
        </w:rPr>
      </w:pPr>
      <w:r>
        <w:rPr>
          <w:rFonts w:hint="eastAsia" w:cs="Times New Roman"/>
          <w:bCs/>
        </w:rPr>
        <w:t>本项目产生的固体废物主要为生活垃圾，</w:t>
      </w:r>
      <w:r>
        <w:rPr>
          <w:rFonts w:hint="eastAsia" w:cs="Times New Roman"/>
          <w:bCs/>
          <w:lang w:val="en-US" w:eastAsia="zh-CN"/>
        </w:rPr>
        <w:t>一般工业固废（</w:t>
      </w:r>
      <w:r>
        <w:rPr>
          <w:rFonts w:hint="eastAsia" w:cs="Times New Roman"/>
          <w:bCs/>
        </w:rPr>
        <w:t>废塑料和废包装材料</w:t>
      </w:r>
      <w:r>
        <w:rPr>
          <w:rFonts w:hint="eastAsia" w:cs="Times New Roman"/>
          <w:bCs/>
          <w:lang w:val="en-US" w:eastAsia="zh-CN"/>
        </w:rPr>
        <w:t>）</w:t>
      </w:r>
      <w:r>
        <w:rPr>
          <w:rFonts w:hint="eastAsia" w:cs="Times New Roman"/>
          <w:bCs/>
        </w:rPr>
        <w:t>，危险废物（含油废抹布、废机油、废机油桶、废活性炭）。生活垃圾交由环卫部门清运处理，一般工业固废交由废品公司回收处理处置，危险废物交由有资质的处理单位处置</w:t>
      </w:r>
      <w:r>
        <w:rPr>
          <w:rFonts w:hint="eastAsia"/>
          <w:snapToGrid w:val="0"/>
          <w:color w:val="000000" w:themeColor="text1"/>
        </w:rPr>
        <w:t>。</w:t>
      </w:r>
    </w:p>
    <w:p w14:paraId="50A09E4E">
      <w:pPr>
        <w:snapToGrid w:val="0"/>
        <w:spacing w:line="360" w:lineRule="auto"/>
        <w:ind w:firstLine="482" w:firstLineChars="200"/>
        <w:rPr>
          <w:b/>
          <w:bCs/>
          <w:snapToGrid w:val="0"/>
          <w:color w:val="000000" w:themeColor="text1"/>
        </w:rPr>
      </w:pPr>
      <w:r>
        <w:rPr>
          <w:rFonts w:hint="eastAsia"/>
          <w:b/>
          <w:bCs/>
          <w:snapToGrid w:val="0"/>
          <w:color w:val="000000" w:themeColor="text1"/>
        </w:rPr>
        <w:t>四、环境保护设施调试及验收监测效果</w:t>
      </w:r>
    </w:p>
    <w:p w14:paraId="3DC81696">
      <w:pPr>
        <w:snapToGrid w:val="0"/>
        <w:spacing w:line="360" w:lineRule="auto"/>
        <w:ind w:firstLine="480" w:firstLineChars="200"/>
        <w:rPr>
          <w:snapToGrid w:val="0"/>
          <w:color w:val="000000" w:themeColor="text1"/>
        </w:rPr>
      </w:pPr>
      <w:r>
        <w:rPr>
          <w:rFonts w:hint="eastAsia"/>
          <w:snapToGrid w:val="0"/>
          <w:color w:val="000000" w:themeColor="text1"/>
        </w:rPr>
        <w:t>根据《</w:t>
      </w:r>
      <w:r>
        <w:rPr>
          <w:rFonts w:hint="eastAsia"/>
          <w:snapToGrid w:val="0"/>
          <w:color w:val="000000" w:themeColor="text1"/>
          <w:lang w:eastAsia="zh-CN"/>
        </w:rPr>
        <w:t>广州市闽兴包装科技有限公司迁改建项目竣工环境保护验收监测</w:t>
      </w:r>
      <w:r>
        <w:rPr>
          <w:rFonts w:hint="eastAsia"/>
          <w:snapToGrid w:val="0"/>
          <w:color w:val="000000" w:themeColor="text1"/>
        </w:rPr>
        <w:t>》（报告编号为</w:t>
      </w:r>
      <w:r>
        <w:rPr>
          <w:rFonts w:hint="eastAsia"/>
          <w:snapToGrid w:val="0"/>
          <w:color w:val="000000" w:themeColor="text1"/>
          <w:lang w:val="en-US" w:eastAsia="zh-CN"/>
        </w:rPr>
        <w:t>HL25041001</w:t>
      </w:r>
      <w:r>
        <w:rPr>
          <w:rFonts w:hint="eastAsia"/>
          <w:snapToGrid w:val="0"/>
          <w:color w:val="000000" w:themeColor="text1"/>
        </w:rPr>
        <w:t>，广东环绿检测技术有限公司）表明：</w:t>
      </w:r>
    </w:p>
    <w:p w14:paraId="4497795D">
      <w:pPr>
        <w:snapToGrid w:val="0"/>
        <w:spacing w:line="360" w:lineRule="auto"/>
        <w:ind w:firstLine="482" w:firstLineChars="200"/>
        <w:rPr>
          <w:b/>
          <w:bCs/>
          <w:snapToGrid w:val="0"/>
          <w:color w:val="000000" w:themeColor="text1"/>
        </w:rPr>
      </w:pPr>
      <w:r>
        <w:rPr>
          <w:rFonts w:hint="eastAsia"/>
          <w:b/>
          <w:bCs/>
          <w:snapToGrid w:val="0"/>
          <w:color w:val="000000" w:themeColor="text1"/>
        </w:rPr>
        <w:t>1、工况</w:t>
      </w:r>
    </w:p>
    <w:p w14:paraId="7A342EBD">
      <w:pPr>
        <w:snapToGrid w:val="0"/>
        <w:spacing w:line="360" w:lineRule="auto"/>
        <w:ind w:firstLine="480" w:firstLineChars="200"/>
        <w:rPr>
          <w:snapToGrid w:val="0"/>
          <w:color w:val="000000" w:themeColor="text1"/>
        </w:rPr>
      </w:pPr>
      <w:r>
        <w:rPr>
          <w:rFonts w:hint="eastAsia"/>
          <w:snapToGrid w:val="0"/>
          <w:color w:val="000000" w:themeColor="text1"/>
        </w:rPr>
        <w:t>验收监测期间，本项目正常生产，生产负荷达到</w:t>
      </w:r>
      <w:r>
        <w:rPr>
          <w:rFonts w:hint="eastAsia"/>
          <w:snapToGrid w:val="0"/>
          <w:color w:val="000000" w:themeColor="text1"/>
          <w:lang w:val="en-US" w:eastAsia="zh-CN"/>
        </w:rPr>
        <w:t>9</w:t>
      </w:r>
      <w:r>
        <w:rPr>
          <w:rFonts w:hint="eastAsia"/>
          <w:snapToGrid w:val="0"/>
          <w:color w:val="000000" w:themeColor="text1"/>
        </w:rPr>
        <w:t>0%以上。</w:t>
      </w:r>
    </w:p>
    <w:p w14:paraId="283357A8">
      <w:pPr>
        <w:snapToGrid w:val="0"/>
        <w:spacing w:line="360" w:lineRule="auto"/>
        <w:ind w:firstLine="482" w:firstLineChars="200"/>
        <w:rPr>
          <w:b/>
          <w:bCs/>
          <w:snapToGrid w:val="0"/>
          <w:color w:val="000000" w:themeColor="text1"/>
        </w:rPr>
      </w:pPr>
      <w:r>
        <w:rPr>
          <w:rFonts w:hint="eastAsia"/>
          <w:b/>
          <w:bCs/>
          <w:snapToGrid w:val="0"/>
          <w:color w:val="000000" w:themeColor="text1"/>
        </w:rPr>
        <w:t>2、废水处理设施</w:t>
      </w:r>
    </w:p>
    <w:p w14:paraId="2047DCBB">
      <w:pPr>
        <w:adjustRightInd w:val="0"/>
        <w:snapToGrid w:val="0"/>
        <w:spacing w:line="360" w:lineRule="auto"/>
        <w:ind w:firstLine="480" w:firstLineChars="200"/>
        <w:rPr>
          <w:rFonts w:cs="Times New Roman"/>
          <w:bCs/>
        </w:rPr>
      </w:pPr>
      <w:r>
        <w:rPr>
          <w:rFonts w:hint="eastAsia"/>
          <w:snapToGrid w:val="0"/>
        </w:rPr>
        <w:t>验收监测期间，本项目排入园区污水处理设施的废水满足广东省《水污染物排放限值》（DB44/26-2001）第二时段三级标准，园区污水处理设施废水排放满足广东省《水污染物排放限值》（DB44/26-2001）第二时段一级标准，符合环评批复要求</w:t>
      </w:r>
      <w:r>
        <w:rPr>
          <w:rFonts w:hint="eastAsia" w:cs="Times New Roman"/>
          <w:bCs/>
        </w:rPr>
        <w:t>。</w:t>
      </w:r>
    </w:p>
    <w:p w14:paraId="4036CEDA">
      <w:pPr>
        <w:snapToGrid w:val="0"/>
        <w:spacing w:line="360" w:lineRule="auto"/>
        <w:ind w:firstLine="482" w:firstLineChars="200"/>
        <w:rPr>
          <w:b/>
          <w:bCs/>
          <w:snapToGrid w:val="0"/>
          <w:color w:val="000000" w:themeColor="text1"/>
        </w:rPr>
      </w:pPr>
      <w:r>
        <w:rPr>
          <w:b/>
          <w:bCs/>
          <w:snapToGrid w:val="0"/>
          <w:color w:val="000000" w:themeColor="text1"/>
        </w:rPr>
        <w:t>3</w:t>
      </w:r>
      <w:r>
        <w:rPr>
          <w:rFonts w:hint="eastAsia"/>
          <w:b/>
          <w:bCs/>
          <w:snapToGrid w:val="0"/>
          <w:color w:val="000000" w:themeColor="text1"/>
        </w:rPr>
        <w:t>、废气处理设施</w:t>
      </w:r>
    </w:p>
    <w:p w14:paraId="115829D6">
      <w:pPr>
        <w:adjustRightInd w:val="0"/>
        <w:snapToGrid w:val="0"/>
        <w:spacing w:line="360" w:lineRule="auto"/>
        <w:ind w:firstLine="480" w:firstLineChars="200"/>
        <w:rPr>
          <w:rFonts w:cs="Times New Roman"/>
          <w:bCs/>
        </w:rPr>
      </w:pPr>
      <w:r>
        <w:rPr>
          <w:rFonts w:hint="eastAsia"/>
          <w:snapToGrid w:val="0"/>
        </w:rPr>
        <w:t>验收监测期间，非甲烷总烃、颗粒物、乙醛、甲苯、乙苯有组织排放满足《合成树脂工业污染物排放标准》（GB31572-2015）表5大气污染物特别排放限值的50%及《固定污染源挥发性有机物综合排放标准》（DB44/ 2367-2022）表1 挥发性有机物排放限值的较严值，无组织排放满足《合成树脂工业污染物排放标准》（GB31572-2015）表9企业边界浓度限值。苯乙烯有组织排放浓度满足《合成树脂工业污染物排放标准》（GB31572-2015）（含2024年修改单）表5特别排放限值的50%，有组织排放速率满足《恶臭污染物排放标准》（GB14554-93）表2恶臭污染物排放标准值，无组织排放满足《恶臭污染物排放标准》（GB14554-93）表1恶臭污染物新改扩建厂界标准值。臭气浓度满足《恶臭污染物排放标准》（GB14554-93）表2恶臭污染物排放标准值和表1恶臭污染物新改扩建厂界标准值。厂区内非甲烷总烃满足广东省《固定污染源挥发性有机物综合排放标准》（DB44/2367-2022）表3厂区内VOCs无组织排放限值。与环评批复要求一致</w:t>
      </w:r>
      <w:r>
        <w:rPr>
          <w:rFonts w:hint="eastAsia"/>
          <w:snapToGrid w:val="0"/>
          <w:lang w:val="en-US" w:eastAsia="zh-CN"/>
        </w:rPr>
        <w:t>。</w:t>
      </w:r>
    </w:p>
    <w:p w14:paraId="443C4F2E">
      <w:pPr>
        <w:snapToGrid w:val="0"/>
        <w:spacing w:line="360" w:lineRule="auto"/>
        <w:ind w:firstLine="482" w:firstLineChars="200"/>
        <w:rPr>
          <w:b/>
          <w:bCs/>
          <w:snapToGrid w:val="0"/>
          <w:color w:val="000000" w:themeColor="text1"/>
        </w:rPr>
      </w:pPr>
      <w:r>
        <w:rPr>
          <w:b/>
          <w:bCs/>
          <w:snapToGrid w:val="0"/>
          <w:color w:val="000000" w:themeColor="text1"/>
        </w:rPr>
        <w:t>4</w:t>
      </w:r>
      <w:r>
        <w:rPr>
          <w:rFonts w:hint="eastAsia"/>
          <w:b/>
          <w:bCs/>
          <w:snapToGrid w:val="0"/>
          <w:color w:val="000000" w:themeColor="text1"/>
        </w:rPr>
        <w:t>、噪声</w:t>
      </w:r>
    </w:p>
    <w:p w14:paraId="06FC299C">
      <w:pPr>
        <w:adjustRightInd w:val="0"/>
        <w:snapToGrid w:val="0"/>
        <w:spacing w:line="360" w:lineRule="auto"/>
        <w:ind w:firstLine="480" w:firstLineChars="200"/>
        <w:rPr>
          <w:rFonts w:cs="Times New Roman"/>
          <w:bCs/>
        </w:rPr>
      </w:pPr>
      <w:r>
        <w:rPr>
          <w:rFonts w:hint="eastAsia"/>
          <w:snapToGrid w:val="0"/>
        </w:rPr>
        <w:t>验收监测期间，本项目边界噪声达到《工业企业厂界环境噪声排放标准》（GB12348-2008）2类标准，符合环评批复要求</w:t>
      </w:r>
      <w:r>
        <w:rPr>
          <w:rFonts w:hint="eastAsia" w:cs="Times New Roman"/>
          <w:bCs/>
        </w:rPr>
        <w:t>。</w:t>
      </w:r>
    </w:p>
    <w:p w14:paraId="6327BD67">
      <w:pPr>
        <w:snapToGrid w:val="0"/>
        <w:spacing w:line="360" w:lineRule="auto"/>
        <w:ind w:firstLine="482" w:firstLineChars="200"/>
        <w:rPr>
          <w:b/>
          <w:bCs/>
          <w:snapToGrid w:val="0"/>
          <w:color w:val="000000" w:themeColor="text1"/>
        </w:rPr>
      </w:pPr>
      <w:r>
        <w:rPr>
          <w:b/>
          <w:bCs/>
          <w:snapToGrid w:val="0"/>
          <w:color w:val="000000" w:themeColor="text1"/>
        </w:rPr>
        <w:t>5</w:t>
      </w:r>
      <w:r>
        <w:rPr>
          <w:rFonts w:hint="eastAsia"/>
          <w:b/>
          <w:bCs/>
          <w:snapToGrid w:val="0"/>
          <w:color w:val="000000" w:themeColor="text1"/>
        </w:rPr>
        <w:t>、固体废物</w:t>
      </w:r>
    </w:p>
    <w:p w14:paraId="70DA62A2">
      <w:pPr>
        <w:snapToGrid w:val="0"/>
        <w:spacing w:line="360" w:lineRule="auto"/>
        <w:ind w:firstLine="480" w:firstLineChars="200"/>
        <w:rPr>
          <w:b/>
          <w:bCs/>
          <w:snapToGrid w:val="0"/>
          <w:color w:val="000000" w:themeColor="text1"/>
        </w:rPr>
      </w:pPr>
      <w:r>
        <w:rPr>
          <w:rFonts w:hint="eastAsia" w:cs="Times New Roman"/>
          <w:bCs/>
        </w:rPr>
        <w:t>本项目</w:t>
      </w:r>
      <w:r>
        <w:rPr>
          <w:rFonts w:hint="eastAsia"/>
        </w:rPr>
        <w:t>生活垃圾交由环卫部门清运处理，一般工业固废交由一般工业固废处理单位处置，危险废物交由有资质的处理单位处置</w:t>
      </w:r>
      <w:r>
        <w:t>，符合环评批复要求</w:t>
      </w:r>
      <w:r>
        <w:rPr>
          <w:rFonts w:hint="eastAsia"/>
        </w:rPr>
        <w:t>。</w:t>
      </w:r>
    </w:p>
    <w:p w14:paraId="039FF2E2">
      <w:pPr>
        <w:snapToGrid w:val="0"/>
        <w:spacing w:line="360" w:lineRule="auto"/>
        <w:ind w:firstLine="482" w:firstLineChars="200"/>
        <w:rPr>
          <w:b/>
          <w:bCs/>
          <w:snapToGrid w:val="0"/>
          <w:color w:val="000000" w:themeColor="text1"/>
        </w:rPr>
      </w:pPr>
      <w:r>
        <w:rPr>
          <w:rFonts w:hint="eastAsia"/>
          <w:b/>
          <w:bCs/>
          <w:snapToGrid w:val="0"/>
          <w:color w:val="000000" w:themeColor="text1"/>
        </w:rPr>
        <w:t>6、污染物排放总量控制</w:t>
      </w:r>
    </w:p>
    <w:p w14:paraId="0282A568">
      <w:pPr>
        <w:snapToGrid w:val="0"/>
        <w:spacing w:line="360" w:lineRule="auto"/>
        <w:ind w:firstLine="480" w:firstLineChars="200"/>
        <w:rPr>
          <w:snapToGrid w:val="0"/>
          <w:color w:val="000000" w:themeColor="text1"/>
        </w:rPr>
      </w:pPr>
      <w:r>
        <w:rPr>
          <w:rFonts w:hint="eastAsia" w:eastAsia="宋体"/>
          <w:color w:val="000000"/>
          <w:highlight w:val="none"/>
          <w:lang w:eastAsia="zh-CN"/>
        </w:rPr>
        <w:t>本项目VOCs排放量为0.07512t/a，满足环评批复总量控制要求</w:t>
      </w:r>
      <w:r>
        <w:rPr>
          <w:color w:val="000000"/>
          <w:highlight w:val="none"/>
          <w:lang w:eastAsia="zh-CN"/>
        </w:rPr>
        <w:t>。</w:t>
      </w:r>
    </w:p>
    <w:p w14:paraId="25DEA763">
      <w:pPr>
        <w:adjustRightInd w:val="0"/>
        <w:snapToGrid w:val="0"/>
        <w:spacing w:line="360" w:lineRule="auto"/>
        <w:ind w:firstLine="482" w:firstLineChars="200"/>
        <w:rPr>
          <w:rFonts w:cs="Times New Roman"/>
          <w:b/>
        </w:rPr>
      </w:pPr>
      <w:r>
        <w:rPr>
          <w:rFonts w:cs="Times New Roman"/>
          <w:b/>
        </w:rPr>
        <w:t>五、验收结论</w:t>
      </w:r>
    </w:p>
    <w:p w14:paraId="11CFCC00">
      <w:pPr>
        <w:adjustRightInd w:val="0"/>
        <w:snapToGrid w:val="0"/>
        <w:spacing w:line="360" w:lineRule="auto"/>
        <w:ind w:firstLine="480" w:firstLineChars="200"/>
        <w:rPr>
          <w:rFonts w:cs="Times New Roman"/>
          <w:bCs/>
        </w:rPr>
      </w:pPr>
      <w:r>
        <w:rPr>
          <w:rFonts w:hint="eastAsia"/>
          <w:bCs/>
        </w:rPr>
        <w:t>根据</w:t>
      </w:r>
      <w:r>
        <w:rPr>
          <w:rFonts w:hint="eastAsia"/>
          <w:lang w:val="en-US" w:eastAsia="zh-CN"/>
        </w:rPr>
        <w:t>广州市闽兴包装科技有限公司</w:t>
      </w:r>
      <w:r>
        <w:rPr>
          <w:rFonts w:hint="eastAsia"/>
          <w:bCs/>
        </w:rPr>
        <w:t>提供的验收报告、验收监测报告及相关材料，本项目执行了环境影响评价制度，建立了相应的环保管理制度；本项目的性质、规模、采用的生产工艺和污染防治措施等与环评阶段基本一致，基本落实了环评批复要求；废水、废气、厂界噪声排放和固废处置基本符合环评文件及其批复要求</w:t>
      </w:r>
      <w:r>
        <w:rPr>
          <w:rFonts w:hint="eastAsia" w:cs="Times New Roman"/>
          <w:bCs/>
        </w:rPr>
        <w:t>。本项目符合环保竣工验收要求，验收工作组一致同意通过本项目竣工环境保护验收</w:t>
      </w:r>
      <w:r>
        <w:rPr>
          <w:rFonts w:cs="Times New Roman"/>
          <w:bCs/>
        </w:rPr>
        <w:t>。</w:t>
      </w:r>
    </w:p>
    <w:p w14:paraId="2F95D664">
      <w:pPr>
        <w:adjustRightInd w:val="0"/>
        <w:snapToGrid w:val="0"/>
        <w:spacing w:line="360" w:lineRule="auto"/>
        <w:ind w:firstLine="482" w:firstLineChars="200"/>
        <w:rPr>
          <w:rFonts w:cs="Times New Roman"/>
          <w:b/>
        </w:rPr>
      </w:pPr>
      <w:r>
        <w:rPr>
          <w:rFonts w:hint="eastAsia" w:cs="Times New Roman"/>
          <w:b/>
        </w:rPr>
        <w:t>六、</w:t>
      </w:r>
      <w:r>
        <w:rPr>
          <w:rFonts w:cs="Times New Roman"/>
          <w:b/>
        </w:rPr>
        <w:t>建议</w:t>
      </w:r>
    </w:p>
    <w:p w14:paraId="71CC7809">
      <w:pPr>
        <w:adjustRightInd w:val="0"/>
        <w:snapToGrid w:val="0"/>
        <w:spacing w:line="360" w:lineRule="auto"/>
        <w:ind w:firstLine="480" w:firstLineChars="200"/>
        <w:rPr>
          <w:rFonts w:cs="Times New Roman"/>
          <w:bCs/>
        </w:rPr>
      </w:pPr>
      <w:r>
        <w:t>进一步加强对环保设施的运行与管理，严格按照</w:t>
      </w:r>
      <w:r>
        <w:rPr>
          <w:rFonts w:hint="eastAsia"/>
          <w:snapToGrid w:val="0"/>
          <w:color w:val="000000"/>
        </w:rPr>
        <w:t>《关于广州市闽兴包装科技有限公司迁改建项目环境影响报告表的批复》（穗南审批环评〔2025〕18号）</w:t>
      </w:r>
      <w:r>
        <w:t>的要求做好各项污染防治工作</w:t>
      </w:r>
      <w:r>
        <w:rPr>
          <w:rFonts w:cs="Times New Roman"/>
          <w:bCs/>
        </w:rPr>
        <w:t>。</w:t>
      </w:r>
    </w:p>
    <w:p w14:paraId="69DCF1C5">
      <w:pPr>
        <w:snapToGrid w:val="0"/>
        <w:spacing w:line="360" w:lineRule="auto"/>
        <w:ind w:firstLine="482" w:firstLineChars="200"/>
        <w:rPr>
          <w:b/>
          <w:bCs/>
          <w:snapToGrid w:val="0"/>
          <w:color w:val="000000" w:themeColor="text1"/>
        </w:rPr>
      </w:pPr>
      <w:r>
        <w:rPr>
          <w:b/>
          <w:bCs/>
          <w:snapToGrid w:val="0"/>
          <w:color w:val="000000" w:themeColor="text1"/>
        </w:rPr>
        <w:t>七、验收工作组</w:t>
      </w:r>
    </w:p>
    <w:tbl>
      <w:tblPr>
        <w:tblStyle w:val="8"/>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272"/>
        <w:gridCol w:w="2764"/>
        <w:gridCol w:w="1522"/>
        <w:gridCol w:w="1536"/>
        <w:gridCol w:w="1529"/>
      </w:tblGrid>
      <w:tr w14:paraId="16DA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0C0F008A">
            <w:pPr>
              <w:jc w:val="center"/>
              <w:rPr>
                <w:b/>
                <w:bCs/>
              </w:rPr>
            </w:pPr>
            <w:r>
              <w:rPr>
                <w:rFonts w:hint="eastAsia"/>
                <w:b/>
                <w:bCs/>
              </w:rPr>
              <w:t>序号</w:t>
            </w:r>
          </w:p>
        </w:tc>
        <w:tc>
          <w:tcPr>
            <w:tcW w:w="1272" w:type="dxa"/>
            <w:vAlign w:val="center"/>
          </w:tcPr>
          <w:p w14:paraId="77C346B9">
            <w:pPr>
              <w:jc w:val="center"/>
              <w:rPr>
                <w:b/>
                <w:bCs/>
              </w:rPr>
            </w:pPr>
            <w:r>
              <w:rPr>
                <w:rFonts w:hint="eastAsia"/>
                <w:b/>
                <w:bCs/>
              </w:rPr>
              <w:t>姓名</w:t>
            </w:r>
          </w:p>
        </w:tc>
        <w:tc>
          <w:tcPr>
            <w:tcW w:w="2764" w:type="dxa"/>
            <w:vAlign w:val="center"/>
          </w:tcPr>
          <w:p w14:paraId="357595CE">
            <w:pPr>
              <w:jc w:val="center"/>
              <w:rPr>
                <w:b/>
                <w:bCs/>
              </w:rPr>
            </w:pPr>
            <w:r>
              <w:rPr>
                <w:rFonts w:hint="eastAsia"/>
                <w:b/>
                <w:bCs/>
              </w:rPr>
              <w:t>单位</w:t>
            </w:r>
          </w:p>
        </w:tc>
        <w:tc>
          <w:tcPr>
            <w:tcW w:w="1522" w:type="dxa"/>
            <w:vAlign w:val="center"/>
          </w:tcPr>
          <w:p w14:paraId="598A99DC">
            <w:pPr>
              <w:jc w:val="center"/>
              <w:rPr>
                <w:b/>
                <w:bCs/>
              </w:rPr>
            </w:pPr>
            <w:r>
              <w:rPr>
                <w:rFonts w:hint="eastAsia"/>
                <w:b/>
                <w:bCs/>
              </w:rPr>
              <w:t>职务/职称</w:t>
            </w:r>
          </w:p>
        </w:tc>
        <w:tc>
          <w:tcPr>
            <w:tcW w:w="1536" w:type="dxa"/>
            <w:vAlign w:val="center"/>
          </w:tcPr>
          <w:p w14:paraId="3F0D0B99">
            <w:pPr>
              <w:jc w:val="center"/>
              <w:rPr>
                <w:b/>
                <w:bCs/>
              </w:rPr>
            </w:pPr>
            <w:r>
              <w:rPr>
                <w:rFonts w:hint="eastAsia"/>
                <w:b/>
                <w:bCs/>
              </w:rPr>
              <w:t>电话</w:t>
            </w:r>
          </w:p>
        </w:tc>
        <w:tc>
          <w:tcPr>
            <w:tcW w:w="1529" w:type="dxa"/>
            <w:vAlign w:val="center"/>
          </w:tcPr>
          <w:p w14:paraId="0FEBB977">
            <w:pPr>
              <w:jc w:val="center"/>
              <w:rPr>
                <w:b/>
                <w:bCs/>
              </w:rPr>
            </w:pPr>
            <w:r>
              <w:rPr>
                <w:rFonts w:hint="eastAsia"/>
                <w:b/>
                <w:bCs/>
              </w:rPr>
              <w:t>签名</w:t>
            </w:r>
          </w:p>
        </w:tc>
      </w:tr>
      <w:tr w14:paraId="302E7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16B4F1DF">
            <w:pPr>
              <w:jc w:val="center"/>
              <w:rPr>
                <w:b/>
                <w:bCs/>
              </w:rPr>
            </w:pPr>
            <w:r>
              <w:t>1</w:t>
            </w:r>
          </w:p>
        </w:tc>
        <w:tc>
          <w:tcPr>
            <w:tcW w:w="1272" w:type="dxa"/>
            <w:vAlign w:val="center"/>
          </w:tcPr>
          <w:p w14:paraId="624152D3">
            <w:pPr>
              <w:jc w:val="center"/>
              <w:rPr>
                <w:rFonts w:hint="default" w:eastAsia="宋体" w:cs="Times New Roman"/>
                <w:lang w:val="en-US" w:eastAsia="zh-CN"/>
              </w:rPr>
            </w:pPr>
            <w:r>
              <w:rPr>
                <w:rFonts w:hint="eastAsia" w:cs="Times New Roman"/>
                <w:lang w:val="en-US" w:eastAsia="zh-CN"/>
              </w:rPr>
              <w:t>曾建宇</w:t>
            </w:r>
          </w:p>
        </w:tc>
        <w:tc>
          <w:tcPr>
            <w:tcW w:w="2764" w:type="dxa"/>
            <w:vAlign w:val="center"/>
          </w:tcPr>
          <w:p w14:paraId="2FAEEEAC">
            <w:pPr>
              <w:jc w:val="center"/>
              <w:rPr>
                <w:rFonts w:hint="eastAsia" w:eastAsia="宋体"/>
                <w:lang w:eastAsia="zh-CN"/>
              </w:rPr>
            </w:pPr>
            <w:r>
              <w:rPr>
                <w:rFonts w:hint="eastAsia"/>
                <w:lang w:eastAsia="zh-CN"/>
              </w:rPr>
              <w:t>广州市闽兴包装科技有限公司</w:t>
            </w:r>
          </w:p>
        </w:tc>
        <w:tc>
          <w:tcPr>
            <w:tcW w:w="1522" w:type="dxa"/>
            <w:vAlign w:val="center"/>
          </w:tcPr>
          <w:p w14:paraId="6CE914FA">
            <w:pPr>
              <w:jc w:val="center"/>
              <w:rPr>
                <w:rFonts w:hint="default" w:eastAsia="宋体"/>
                <w:b/>
                <w:bCs/>
                <w:lang w:val="en-US" w:eastAsia="zh-CN"/>
              </w:rPr>
            </w:pPr>
            <w:r>
              <w:rPr>
                <w:rFonts w:hint="eastAsia"/>
                <w:lang w:val="en-US" w:eastAsia="zh-CN"/>
              </w:rPr>
              <w:t>厂长</w:t>
            </w:r>
          </w:p>
        </w:tc>
        <w:tc>
          <w:tcPr>
            <w:tcW w:w="1536" w:type="dxa"/>
            <w:vAlign w:val="center"/>
          </w:tcPr>
          <w:p w14:paraId="0AB744EA">
            <w:pPr>
              <w:jc w:val="center"/>
              <w:rPr>
                <w:rFonts w:hint="default" w:eastAsia="宋体"/>
                <w:lang w:val="en-US" w:eastAsia="zh-CN"/>
              </w:rPr>
            </w:pPr>
            <w:r>
              <w:rPr>
                <w:rFonts w:hint="default" w:eastAsia="宋体"/>
                <w:lang w:val="en-US" w:eastAsia="zh-CN"/>
              </w:rPr>
              <w:t>13660541506</w:t>
            </w:r>
          </w:p>
        </w:tc>
        <w:tc>
          <w:tcPr>
            <w:tcW w:w="1529" w:type="dxa"/>
            <w:vAlign w:val="center"/>
          </w:tcPr>
          <w:p w14:paraId="58A9739B">
            <w:pPr>
              <w:jc w:val="center"/>
              <w:rPr>
                <w:b/>
                <w:bCs/>
              </w:rPr>
            </w:pPr>
          </w:p>
        </w:tc>
      </w:tr>
      <w:tr w14:paraId="1282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2FF51D99">
            <w:pPr>
              <w:jc w:val="center"/>
            </w:pPr>
            <w:r>
              <w:rPr>
                <w:rFonts w:hint="eastAsia"/>
              </w:rPr>
              <w:t>2</w:t>
            </w:r>
          </w:p>
        </w:tc>
        <w:tc>
          <w:tcPr>
            <w:tcW w:w="1272" w:type="dxa"/>
            <w:vAlign w:val="center"/>
          </w:tcPr>
          <w:p w14:paraId="043B7454">
            <w:pPr>
              <w:jc w:val="center"/>
              <w:rPr>
                <w:rFonts w:hint="default" w:eastAsia="宋体" w:cs="Times New Roman"/>
                <w:lang w:val="en-US" w:eastAsia="zh-CN"/>
              </w:rPr>
            </w:pPr>
            <w:r>
              <w:rPr>
                <w:rFonts w:hint="default" w:eastAsia="宋体" w:cs="Times New Roman"/>
                <w:lang w:val="en-US" w:eastAsia="zh-CN"/>
              </w:rPr>
              <w:t>黄火燎</w:t>
            </w:r>
          </w:p>
        </w:tc>
        <w:tc>
          <w:tcPr>
            <w:tcW w:w="2764" w:type="dxa"/>
            <w:vAlign w:val="center"/>
          </w:tcPr>
          <w:p w14:paraId="344ACA80">
            <w:pPr>
              <w:jc w:val="center"/>
              <w:rPr>
                <w:rFonts w:hint="eastAsia" w:eastAsia="宋体"/>
                <w:lang w:eastAsia="zh-CN"/>
              </w:rPr>
            </w:pPr>
            <w:r>
              <w:rPr>
                <w:rFonts w:hint="eastAsia"/>
                <w:lang w:eastAsia="zh-CN"/>
              </w:rPr>
              <w:t>广州市闽兴包装科技有限公司</w:t>
            </w:r>
          </w:p>
        </w:tc>
        <w:tc>
          <w:tcPr>
            <w:tcW w:w="1522" w:type="dxa"/>
            <w:vAlign w:val="center"/>
          </w:tcPr>
          <w:p w14:paraId="3C4F85DB">
            <w:pPr>
              <w:jc w:val="center"/>
              <w:rPr>
                <w:rFonts w:hint="default" w:eastAsia="宋体"/>
                <w:lang w:val="en-US" w:eastAsia="zh-CN"/>
              </w:rPr>
            </w:pPr>
            <w:r>
              <w:rPr>
                <w:rFonts w:hint="eastAsia"/>
                <w:b w:val="0"/>
                <w:bCs w:val="0"/>
                <w:lang w:val="en-US" w:eastAsia="zh-CN"/>
              </w:rPr>
              <w:t>经理</w:t>
            </w:r>
          </w:p>
        </w:tc>
        <w:tc>
          <w:tcPr>
            <w:tcW w:w="1536" w:type="dxa"/>
            <w:vAlign w:val="center"/>
          </w:tcPr>
          <w:p w14:paraId="00D0F15D">
            <w:pPr>
              <w:jc w:val="center"/>
              <w:rPr>
                <w:rFonts w:hint="default" w:eastAsia="宋体"/>
                <w:lang w:val="en-US" w:eastAsia="zh-CN"/>
              </w:rPr>
            </w:pPr>
            <w:bookmarkStart w:id="0" w:name="_GoBack"/>
            <w:r>
              <w:rPr>
                <w:rFonts w:hint="default" w:eastAsia="宋体"/>
                <w:lang w:val="en-US" w:eastAsia="zh-CN"/>
              </w:rPr>
              <w:t>15918555592</w:t>
            </w:r>
            <w:bookmarkEnd w:id="0"/>
          </w:p>
        </w:tc>
        <w:tc>
          <w:tcPr>
            <w:tcW w:w="1529" w:type="dxa"/>
            <w:vAlign w:val="center"/>
          </w:tcPr>
          <w:p w14:paraId="3D676037">
            <w:pPr>
              <w:jc w:val="center"/>
              <w:rPr>
                <w:b/>
                <w:bCs/>
              </w:rPr>
            </w:pPr>
          </w:p>
        </w:tc>
      </w:tr>
      <w:tr w14:paraId="3729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1AB30E50">
            <w:pPr>
              <w:jc w:val="center"/>
              <w:rPr>
                <w:rFonts w:hint="eastAsia" w:ascii="Times New Roman" w:hAnsi="Times New Roman" w:eastAsia="宋体" w:cstheme="minorBidi"/>
                <w:kern w:val="2"/>
                <w:sz w:val="24"/>
                <w:szCs w:val="24"/>
                <w:lang w:val="en-US" w:eastAsia="zh-CN" w:bidi="ar-SA"/>
              </w:rPr>
            </w:pPr>
            <w:r>
              <w:rPr>
                <w:rFonts w:hint="eastAsia"/>
              </w:rPr>
              <w:t>3</w:t>
            </w:r>
          </w:p>
        </w:tc>
        <w:tc>
          <w:tcPr>
            <w:tcW w:w="1272" w:type="dxa"/>
            <w:vAlign w:val="center"/>
          </w:tcPr>
          <w:p w14:paraId="56A97251">
            <w:pPr>
              <w:jc w:val="center"/>
              <w:rPr>
                <w:rFonts w:hint="default" w:cs="Times New Roman"/>
                <w:lang w:val="en-US" w:eastAsia="zh-CN"/>
              </w:rPr>
            </w:pPr>
            <w:r>
              <w:rPr>
                <w:rFonts w:hint="eastAsia" w:cs="Times New Roman"/>
                <w:lang w:val="en-US" w:eastAsia="zh-CN"/>
              </w:rPr>
              <w:t>黄壮群</w:t>
            </w:r>
          </w:p>
        </w:tc>
        <w:tc>
          <w:tcPr>
            <w:tcW w:w="2764" w:type="dxa"/>
            <w:vAlign w:val="center"/>
          </w:tcPr>
          <w:p w14:paraId="5E3D1528">
            <w:pPr>
              <w:jc w:val="center"/>
              <w:rPr>
                <w:rFonts w:hint="eastAsia" w:ascii="Times New Roman" w:hAnsi="Times New Roman" w:eastAsia="宋体" w:cstheme="minorBidi"/>
                <w:kern w:val="2"/>
                <w:sz w:val="24"/>
                <w:szCs w:val="24"/>
                <w:lang w:val="en-US" w:eastAsia="zh-CN" w:bidi="ar-SA"/>
              </w:rPr>
            </w:pPr>
            <w:r>
              <w:rPr>
                <w:rFonts w:hint="eastAsia"/>
              </w:rPr>
              <w:t>广东环境保护工程职业学院</w:t>
            </w:r>
          </w:p>
        </w:tc>
        <w:tc>
          <w:tcPr>
            <w:tcW w:w="1522" w:type="dxa"/>
            <w:vAlign w:val="center"/>
          </w:tcPr>
          <w:p w14:paraId="3AD9B2CF">
            <w:pPr>
              <w:jc w:val="center"/>
              <w:rPr>
                <w:rFonts w:hint="eastAsia" w:eastAsia="宋体"/>
                <w:lang w:val="en-US" w:eastAsia="zh-CN"/>
              </w:rPr>
            </w:pPr>
            <w:r>
              <w:rPr>
                <w:rFonts w:hint="eastAsia"/>
                <w:lang w:val="en-US" w:eastAsia="zh-CN"/>
              </w:rPr>
              <w:t>高工</w:t>
            </w:r>
          </w:p>
        </w:tc>
        <w:tc>
          <w:tcPr>
            <w:tcW w:w="1536" w:type="dxa"/>
            <w:vAlign w:val="center"/>
          </w:tcPr>
          <w:p w14:paraId="6765B79F">
            <w:pPr>
              <w:jc w:val="center"/>
              <w:rPr>
                <w:rFonts w:hint="eastAsia"/>
              </w:rPr>
            </w:pPr>
            <w:r>
              <w:rPr>
                <w:rFonts w:hint="eastAsia"/>
              </w:rPr>
              <w:t>18022214868</w:t>
            </w:r>
          </w:p>
        </w:tc>
        <w:tc>
          <w:tcPr>
            <w:tcW w:w="1529" w:type="dxa"/>
            <w:vAlign w:val="center"/>
          </w:tcPr>
          <w:p w14:paraId="48DF197F">
            <w:pPr>
              <w:jc w:val="center"/>
              <w:rPr>
                <w:b/>
                <w:bCs/>
              </w:rPr>
            </w:pPr>
          </w:p>
        </w:tc>
      </w:tr>
      <w:tr w14:paraId="6B05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4E8B779A">
            <w:pPr>
              <w:jc w:val="center"/>
              <w:rPr>
                <w:rFonts w:hint="eastAsia" w:ascii="Times New Roman" w:hAnsi="Times New Roman" w:eastAsia="宋体" w:cstheme="minorBidi"/>
                <w:kern w:val="2"/>
                <w:sz w:val="24"/>
                <w:szCs w:val="24"/>
                <w:lang w:val="en-US" w:eastAsia="zh-CN" w:bidi="ar-SA"/>
              </w:rPr>
            </w:pPr>
            <w:r>
              <w:t>4</w:t>
            </w:r>
          </w:p>
        </w:tc>
        <w:tc>
          <w:tcPr>
            <w:tcW w:w="1272" w:type="dxa"/>
            <w:shd w:val="clear"/>
            <w:vAlign w:val="center"/>
          </w:tcPr>
          <w:p w14:paraId="705419AB">
            <w:pPr>
              <w:jc w:val="center"/>
              <w:rPr>
                <w:rFonts w:hint="default" w:ascii="Times New Roman" w:hAnsi="Times New Roman" w:eastAsia="宋体" w:cstheme="minorBidi"/>
                <w:kern w:val="2"/>
                <w:sz w:val="24"/>
                <w:szCs w:val="24"/>
                <w:lang w:val="en-US" w:eastAsia="zh-CN" w:bidi="ar-SA"/>
              </w:rPr>
            </w:pPr>
            <w:r>
              <w:rPr>
                <w:rFonts w:hint="eastAsia"/>
                <w:lang w:val="en-US" w:eastAsia="zh-CN"/>
              </w:rPr>
              <w:t>王伟</w:t>
            </w:r>
          </w:p>
        </w:tc>
        <w:tc>
          <w:tcPr>
            <w:tcW w:w="2764" w:type="dxa"/>
            <w:shd w:val="clear"/>
            <w:vAlign w:val="center"/>
          </w:tcPr>
          <w:p w14:paraId="727149C3">
            <w:pPr>
              <w:jc w:val="center"/>
              <w:rPr>
                <w:rFonts w:hint="eastAsia" w:ascii="Times New Roman" w:hAnsi="Times New Roman" w:eastAsia="宋体" w:cstheme="minorBidi"/>
                <w:kern w:val="2"/>
                <w:sz w:val="24"/>
                <w:szCs w:val="24"/>
                <w:lang w:val="en-US" w:eastAsia="zh-CN" w:bidi="ar-SA"/>
              </w:rPr>
            </w:pPr>
            <w:r>
              <w:rPr>
                <w:rFonts w:hint="eastAsia"/>
              </w:rPr>
              <w:t>广东环绿检测技术有限公司</w:t>
            </w:r>
          </w:p>
        </w:tc>
        <w:tc>
          <w:tcPr>
            <w:tcW w:w="1522" w:type="dxa"/>
            <w:shd w:val="clear"/>
            <w:vAlign w:val="center"/>
          </w:tcPr>
          <w:p w14:paraId="1BD8E333">
            <w:pPr>
              <w:jc w:val="center"/>
              <w:rPr>
                <w:rFonts w:hint="default" w:ascii="Times New Roman" w:hAnsi="Times New Roman" w:eastAsia="宋体" w:cstheme="minorBidi"/>
                <w:kern w:val="2"/>
                <w:sz w:val="24"/>
                <w:szCs w:val="24"/>
                <w:lang w:val="en-US" w:eastAsia="zh-CN" w:bidi="ar-SA"/>
              </w:rPr>
            </w:pPr>
            <w:r>
              <w:rPr>
                <w:rFonts w:hint="eastAsia"/>
              </w:rPr>
              <w:t>监测单位代表</w:t>
            </w:r>
          </w:p>
        </w:tc>
        <w:tc>
          <w:tcPr>
            <w:tcW w:w="1536" w:type="dxa"/>
            <w:shd w:val="clear"/>
            <w:vAlign w:val="center"/>
          </w:tcPr>
          <w:p w14:paraId="12A8258B">
            <w:pPr>
              <w:jc w:val="center"/>
              <w:rPr>
                <w:rFonts w:hint="default" w:ascii="Times New Roman" w:hAnsi="Times New Roman" w:eastAsia="宋体" w:cstheme="minorBidi"/>
                <w:kern w:val="2"/>
                <w:sz w:val="24"/>
                <w:szCs w:val="24"/>
                <w:lang w:val="en-US" w:eastAsia="zh-CN" w:bidi="ar-SA"/>
              </w:rPr>
            </w:pPr>
            <w:r>
              <w:rPr>
                <w:rFonts w:hint="eastAsia" w:ascii="Times New Roman" w:hAnsi="Times New Roman" w:eastAsia="宋体" w:cstheme="minorBidi"/>
                <w:kern w:val="2"/>
                <w:sz w:val="24"/>
                <w:szCs w:val="24"/>
                <w:lang w:val="en-US" w:eastAsia="zh-CN" w:bidi="ar-SA"/>
              </w:rPr>
              <w:t>18665655372</w:t>
            </w:r>
          </w:p>
        </w:tc>
        <w:tc>
          <w:tcPr>
            <w:tcW w:w="1529" w:type="dxa"/>
            <w:vAlign w:val="center"/>
          </w:tcPr>
          <w:p w14:paraId="730211BB">
            <w:pPr>
              <w:jc w:val="center"/>
              <w:rPr>
                <w:b/>
                <w:bCs/>
              </w:rPr>
            </w:pPr>
          </w:p>
        </w:tc>
      </w:tr>
      <w:tr w14:paraId="130B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63" w:type="dxa"/>
            <w:vAlign w:val="center"/>
          </w:tcPr>
          <w:p w14:paraId="0A70A946">
            <w:pPr>
              <w:jc w:val="center"/>
              <w:rPr>
                <w:rFonts w:hint="eastAsia" w:eastAsia="宋体"/>
                <w:lang w:val="en-US" w:eastAsia="zh-CN"/>
              </w:rPr>
            </w:pPr>
            <w:r>
              <w:rPr>
                <w:rFonts w:hint="eastAsia"/>
                <w:lang w:val="en-US" w:eastAsia="zh-CN"/>
              </w:rPr>
              <w:t>5</w:t>
            </w:r>
          </w:p>
        </w:tc>
        <w:tc>
          <w:tcPr>
            <w:tcW w:w="1272" w:type="dxa"/>
            <w:vAlign w:val="center"/>
          </w:tcPr>
          <w:p w14:paraId="4FC42F6D">
            <w:pPr>
              <w:jc w:val="center"/>
              <w:rPr>
                <w:rFonts w:hint="default" w:cs="Times New Roman"/>
                <w:kern w:val="2"/>
                <w:sz w:val="24"/>
                <w:szCs w:val="24"/>
                <w:lang w:val="en-US" w:eastAsia="zh-CN" w:bidi="ar-SA"/>
              </w:rPr>
            </w:pPr>
            <w:r>
              <w:rPr>
                <w:rFonts w:hint="eastAsia" w:cs="Times New Roman"/>
                <w:kern w:val="2"/>
                <w:sz w:val="24"/>
                <w:szCs w:val="24"/>
                <w:lang w:val="en-US" w:eastAsia="zh-CN" w:bidi="ar-SA"/>
              </w:rPr>
              <w:t>麦展鹏</w:t>
            </w:r>
          </w:p>
        </w:tc>
        <w:tc>
          <w:tcPr>
            <w:tcW w:w="2764" w:type="dxa"/>
            <w:vAlign w:val="center"/>
          </w:tcPr>
          <w:p w14:paraId="6B476634">
            <w:pPr>
              <w:jc w:val="center"/>
              <w:rPr>
                <w:rFonts w:hint="default" w:ascii="Times New Roman" w:hAnsi="Times New Roman" w:eastAsia="宋体" w:cstheme="minorBidi"/>
                <w:kern w:val="2"/>
                <w:sz w:val="24"/>
                <w:szCs w:val="24"/>
                <w:lang w:val="en-US" w:eastAsia="zh-CN" w:bidi="ar-SA"/>
              </w:rPr>
            </w:pPr>
            <w:r>
              <w:rPr>
                <w:rFonts w:hint="eastAsia" w:cstheme="minorBidi"/>
                <w:kern w:val="2"/>
                <w:sz w:val="24"/>
                <w:szCs w:val="24"/>
                <w:lang w:val="en-US" w:eastAsia="zh-CN" w:bidi="ar-SA"/>
              </w:rPr>
              <w:t>广州科绿环保科技有限公司</w:t>
            </w:r>
          </w:p>
        </w:tc>
        <w:tc>
          <w:tcPr>
            <w:tcW w:w="1522" w:type="dxa"/>
            <w:vAlign w:val="center"/>
          </w:tcPr>
          <w:p w14:paraId="45C00390">
            <w:pPr>
              <w:jc w:val="center"/>
              <w:rPr>
                <w:rFonts w:hint="default" w:cstheme="minorBidi"/>
                <w:kern w:val="2"/>
                <w:sz w:val="24"/>
                <w:szCs w:val="24"/>
                <w:lang w:val="en-US" w:eastAsia="zh-CN" w:bidi="ar-SA"/>
              </w:rPr>
            </w:pPr>
            <w:r>
              <w:rPr>
                <w:rFonts w:hint="eastAsia" w:cstheme="minorBidi"/>
                <w:kern w:val="2"/>
                <w:sz w:val="24"/>
                <w:szCs w:val="24"/>
                <w:lang w:val="en-US" w:eastAsia="zh-CN" w:bidi="ar-SA"/>
              </w:rPr>
              <w:t>助理工程师</w:t>
            </w:r>
          </w:p>
        </w:tc>
        <w:tc>
          <w:tcPr>
            <w:tcW w:w="1536" w:type="dxa"/>
            <w:vAlign w:val="center"/>
          </w:tcPr>
          <w:p w14:paraId="63B94E52">
            <w:pPr>
              <w:jc w:val="center"/>
              <w:rPr>
                <w:rFonts w:hint="default" w:ascii="Times New Roman" w:hAnsi="Times New Roman" w:eastAsia="宋体" w:cstheme="minorBidi"/>
                <w:kern w:val="2"/>
                <w:sz w:val="24"/>
                <w:szCs w:val="24"/>
                <w:lang w:val="en-US" w:eastAsia="zh-CN" w:bidi="ar-SA"/>
              </w:rPr>
            </w:pPr>
            <w:r>
              <w:rPr>
                <w:rFonts w:hint="eastAsia" w:cstheme="minorBidi"/>
                <w:kern w:val="2"/>
                <w:sz w:val="24"/>
                <w:szCs w:val="24"/>
                <w:lang w:val="en-US" w:eastAsia="zh-CN" w:bidi="ar-SA"/>
              </w:rPr>
              <w:t>15602332340</w:t>
            </w:r>
          </w:p>
        </w:tc>
        <w:tc>
          <w:tcPr>
            <w:tcW w:w="1529" w:type="dxa"/>
            <w:vAlign w:val="center"/>
          </w:tcPr>
          <w:p w14:paraId="29F83E2A">
            <w:pPr>
              <w:jc w:val="center"/>
              <w:rPr>
                <w:b/>
                <w:bCs/>
              </w:rPr>
            </w:pPr>
          </w:p>
        </w:tc>
      </w:tr>
    </w:tbl>
    <w:p w14:paraId="1F6EBD7D">
      <w:pPr>
        <w:spacing w:line="360" w:lineRule="auto"/>
        <w:ind w:firstLine="480" w:firstLineChars="200"/>
        <w:jc w:val="right"/>
        <w:rPr>
          <w:snapToGrid w:val="0"/>
          <w:color w:val="000000" w:themeColor="text1"/>
        </w:rPr>
      </w:pPr>
    </w:p>
    <w:p w14:paraId="3C16BE12">
      <w:pPr>
        <w:spacing w:line="360" w:lineRule="auto"/>
        <w:ind w:firstLine="480" w:firstLineChars="200"/>
        <w:jc w:val="right"/>
        <w:rPr>
          <w:snapToGrid w:val="0"/>
          <w:color w:val="000000" w:themeColor="text1"/>
        </w:rPr>
      </w:pPr>
    </w:p>
    <w:p w14:paraId="3683C03F">
      <w:pPr>
        <w:spacing w:line="360" w:lineRule="auto"/>
        <w:ind w:firstLine="480" w:firstLineChars="200"/>
        <w:jc w:val="right"/>
        <w:rPr>
          <w:snapToGrid w:val="0"/>
          <w:color w:val="000000" w:themeColor="text1"/>
        </w:rPr>
      </w:pPr>
    </w:p>
    <w:p w14:paraId="4C1BBF73">
      <w:pPr>
        <w:spacing w:line="360" w:lineRule="auto"/>
        <w:ind w:firstLine="480" w:firstLineChars="200"/>
        <w:jc w:val="right"/>
        <w:rPr>
          <w:snapToGrid w:val="0"/>
          <w:color w:val="000000" w:themeColor="text1"/>
        </w:rPr>
      </w:pPr>
    </w:p>
    <w:p w14:paraId="763B6CF5">
      <w:pPr>
        <w:wordWrap w:val="0"/>
        <w:adjustRightInd w:val="0"/>
        <w:snapToGrid w:val="0"/>
        <w:spacing w:line="360" w:lineRule="auto"/>
        <w:ind w:firstLine="480" w:firstLineChars="200"/>
        <w:jc w:val="right"/>
        <w:rPr>
          <w:snapToGrid w:val="0"/>
          <w:color w:val="000000" w:themeColor="text1"/>
        </w:rPr>
      </w:pPr>
      <w:r>
        <w:rPr>
          <w:rFonts w:hint="eastAsia"/>
          <w:lang w:eastAsia="zh-CN"/>
        </w:rPr>
        <w:t>广州市闽兴包装科技有限公司</w:t>
      </w:r>
      <w:r>
        <w:rPr>
          <w:rFonts w:hint="eastAsia"/>
        </w:rPr>
        <w:t xml:space="preserve"> </w:t>
      </w:r>
      <w:r>
        <w:t xml:space="preserve"> </w:t>
      </w:r>
    </w:p>
    <w:p w14:paraId="13094975">
      <w:pPr>
        <w:wordWrap w:val="0"/>
        <w:adjustRightInd w:val="0"/>
        <w:snapToGrid w:val="0"/>
        <w:spacing w:line="360" w:lineRule="auto"/>
        <w:ind w:firstLine="480" w:firstLineChars="200"/>
        <w:jc w:val="right"/>
      </w:pPr>
      <w:r>
        <w:rPr>
          <w:rFonts w:hint="eastAsia" w:cs="Times New Roman"/>
          <w:bCs/>
          <w:lang w:val="en-US" w:eastAsia="zh-CN"/>
        </w:rPr>
        <w:t>2025</w:t>
      </w:r>
      <w:r>
        <w:rPr>
          <w:rFonts w:hint="eastAsia" w:cs="Times New Roman"/>
          <w:bCs/>
        </w:rPr>
        <w:t>年</w:t>
      </w:r>
      <w:r>
        <w:rPr>
          <w:rFonts w:hint="eastAsia" w:cs="Times New Roman"/>
          <w:bCs/>
          <w:lang w:val="en-US" w:eastAsia="zh-CN"/>
        </w:rPr>
        <w:t>5</w:t>
      </w:r>
      <w:r>
        <w:rPr>
          <w:rFonts w:hint="eastAsia" w:cs="Times New Roman"/>
          <w:bCs/>
        </w:rPr>
        <w:t>月</w:t>
      </w:r>
      <w:r>
        <w:rPr>
          <w:rFonts w:hint="eastAsia" w:cs="Times New Roman"/>
          <w:bCs/>
          <w:lang w:val="en-US" w:eastAsia="zh-CN"/>
        </w:rPr>
        <w:t>29</w:t>
      </w:r>
      <w:r>
        <w:rPr>
          <w:rFonts w:hint="eastAsia" w:cs="Times New Roman"/>
          <w:bCs/>
        </w:rPr>
        <w:t>日</w:t>
      </w:r>
      <w:r>
        <w:rPr>
          <w:rFonts w:hint="eastAsia" w:cs="Times New Roman"/>
          <w:bCs/>
          <w:lang w:val="en-US" w:eastAsia="zh-CN"/>
        </w:rPr>
        <w:t xml:space="preserve">     </w:t>
      </w:r>
      <w:r>
        <w:rPr>
          <w:rFonts w:cs="Times New Roman"/>
          <w:bCs/>
        </w:rPr>
        <w:t xml:space="preserve"> </w:t>
      </w:r>
    </w:p>
    <w:sectPr>
      <w:footerReference r:id="rId3" w:type="default"/>
      <w:pgSz w:w="11906" w:h="16838"/>
      <w:pgMar w:top="1418" w:right="1418" w:bottom="1418" w:left="1418"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433B8">
    <w:pPr>
      <w:pStyle w:val="4"/>
      <w:rPr>
        <w:rFonts w:hint="default" w:eastAsia="宋体"/>
        <w:lang w:val="en-US" w:eastAsia="zh-CN"/>
      </w:rPr>
    </w:pPr>
    <w:r>
      <w:rPr>
        <w:rFonts w:hint="eastAsia"/>
        <w:lang w:val="en-US" w:eastAsia="zh-CN"/>
      </w:rPr>
      <w:t>验收工作组：</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wNDYzYTc2ZDY3YzE3ODUyNWY2N2I1ZGQ5NTA5ZjYifQ=="/>
  </w:docVars>
  <w:rsids>
    <w:rsidRoot w:val="3549238A"/>
    <w:rsid w:val="000608A8"/>
    <w:rsid w:val="00073CE7"/>
    <w:rsid w:val="00075E0C"/>
    <w:rsid w:val="00085CFE"/>
    <w:rsid w:val="000950F4"/>
    <w:rsid w:val="000C7A4A"/>
    <w:rsid w:val="000F475C"/>
    <w:rsid w:val="001029BE"/>
    <w:rsid w:val="00107FBC"/>
    <w:rsid w:val="00135E58"/>
    <w:rsid w:val="00183529"/>
    <w:rsid w:val="0019065A"/>
    <w:rsid w:val="00193665"/>
    <w:rsid w:val="001A4EAA"/>
    <w:rsid w:val="001E2AC6"/>
    <w:rsid w:val="001F0677"/>
    <w:rsid w:val="002577CF"/>
    <w:rsid w:val="002731A5"/>
    <w:rsid w:val="002A5BEF"/>
    <w:rsid w:val="002E7D0C"/>
    <w:rsid w:val="002F038F"/>
    <w:rsid w:val="002F2037"/>
    <w:rsid w:val="002F41F1"/>
    <w:rsid w:val="00326E99"/>
    <w:rsid w:val="00381FCD"/>
    <w:rsid w:val="00390406"/>
    <w:rsid w:val="003B27D0"/>
    <w:rsid w:val="003B6E72"/>
    <w:rsid w:val="003C47E2"/>
    <w:rsid w:val="003E378C"/>
    <w:rsid w:val="004201AB"/>
    <w:rsid w:val="004259C2"/>
    <w:rsid w:val="00437ABA"/>
    <w:rsid w:val="00454233"/>
    <w:rsid w:val="00454ACF"/>
    <w:rsid w:val="004661DB"/>
    <w:rsid w:val="00472652"/>
    <w:rsid w:val="004918D7"/>
    <w:rsid w:val="004A4DE5"/>
    <w:rsid w:val="004A6277"/>
    <w:rsid w:val="004D2444"/>
    <w:rsid w:val="004D469D"/>
    <w:rsid w:val="004E716B"/>
    <w:rsid w:val="004F6D82"/>
    <w:rsid w:val="00507FE1"/>
    <w:rsid w:val="00520B9B"/>
    <w:rsid w:val="00524198"/>
    <w:rsid w:val="00531363"/>
    <w:rsid w:val="005644B4"/>
    <w:rsid w:val="005754A2"/>
    <w:rsid w:val="005E15D8"/>
    <w:rsid w:val="00624363"/>
    <w:rsid w:val="0064218C"/>
    <w:rsid w:val="0066171A"/>
    <w:rsid w:val="00661B13"/>
    <w:rsid w:val="0068480C"/>
    <w:rsid w:val="006C411F"/>
    <w:rsid w:val="006F1025"/>
    <w:rsid w:val="006F1F4A"/>
    <w:rsid w:val="00746145"/>
    <w:rsid w:val="00747332"/>
    <w:rsid w:val="00754D41"/>
    <w:rsid w:val="00774D32"/>
    <w:rsid w:val="00786451"/>
    <w:rsid w:val="007C5405"/>
    <w:rsid w:val="007D3492"/>
    <w:rsid w:val="007F70D2"/>
    <w:rsid w:val="008025EE"/>
    <w:rsid w:val="008171B2"/>
    <w:rsid w:val="008456F0"/>
    <w:rsid w:val="00850FE0"/>
    <w:rsid w:val="00867DE0"/>
    <w:rsid w:val="00880B06"/>
    <w:rsid w:val="00896410"/>
    <w:rsid w:val="008E3545"/>
    <w:rsid w:val="008F2957"/>
    <w:rsid w:val="00936D6B"/>
    <w:rsid w:val="00963811"/>
    <w:rsid w:val="00975743"/>
    <w:rsid w:val="00986AC3"/>
    <w:rsid w:val="009E494C"/>
    <w:rsid w:val="00A918EC"/>
    <w:rsid w:val="00A937A1"/>
    <w:rsid w:val="00AC372C"/>
    <w:rsid w:val="00AE466C"/>
    <w:rsid w:val="00AF4AB6"/>
    <w:rsid w:val="00AF6007"/>
    <w:rsid w:val="00AF6BCD"/>
    <w:rsid w:val="00B14F6C"/>
    <w:rsid w:val="00B51A36"/>
    <w:rsid w:val="00B605B3"/>
    <w:rsid w:val="00B62BB5"/>
    <w:rsid w:val="00B913AB"/>
    <w:rsid w:val="00BB7C6C"/>
    <w:rsid w:val="00BC7072"/>
    <w:rsid w:val="00BD0D70"/>
    <w:rsid w:val="00BD5749"/>
    <w:rsid w:val="00BE2F37"/>
    <w:rsid w:val="00C658FC"/>
    <w:rsid w:val="00C9257E"/>
    <w:rsid w:val="00C94E4A"/>
    <w:rsid w:val="00CA48EE"/>
    <w:rsid w:val="00CB2EB2"/>
    <w:rsid w:val="00CB432D"/>
    <w:rsid w:val="00CC3ABF"/>
    <w:rsid w:val="00CD6A73"/>
    <w:rsid w:val="00D13B35"/>
    <w:rsid w:val="00D414B4"/>
    <w:rsid w:val="00D55F07"/>
    <w:rsid w:val="00D644D5"/>
    <w:rsid w:val="00D71957"/>
    <w:rsid w:val="00DA5DB4"/>
    <w:rsid w:val="00DA69CF"/>
    <w:rsid w:val="00DB0E2D"/>
    <w:rsid w:val="00DF0435"/>
    <w:rsid w:val="00E41DD1"/>
    <w:rsid w:val="00E51838"/>
    <w:rsid w:val="00E725F1"/>
    <w:rsid w:val="00EB750E"/>
    <w:rsid w:val="00F138B5"/>
    <w:rsid w:val="00F47828"/>
    <w:rsid w:val="00F72BCB"/>
    <w:rsid w:val="00F74428"/>
    <w:rsid w:val="00F91319"/>
    <w:rsid w:val="00FE7DD3"/>
    <w:rsid w:val="02895D13"/>
    <w:rsid w:val="04F9701E"/>
    <w:rsid w:val="06C83B4C"/>
    <w:rsid w:val="06D150FF"/>
    <w:rsid w:val="087E342D"/>
    <w:rsid w:val="0CB06A09"/>
    <w:rsid w:val="0DC90F3C"/>
    <w:rsid w:val="11E02202"/>
    <w:rsid w:val="14ED0996"/>
    <w:rsid w:val="18702E14"/>
    <w:rsid w:val="1A043563"/>
    <w:rsid w:val="21081EAF"/>
    <w:rsid w:val="2CFD1FF6"/>
    <w:rsid w:val="2E7B1BE8"/>
    <w:rsid w:val="31A846F6"/>
    <w:rsid w:val="321B3843"/>
    <w:rsid w:val="34F52207"/>
    <w:rsid w:val="352617D6"/>
    <w:rsid w:val="3549238A"/>
    <w:rsid w:val="3DDB22FE"/>
    <w:rsid w:val="3E166723"/>
    <w:rsid w:val="3FF711EF"/>
    <w:rsid w:val="40E064D4"/>
    <w:rsid w:val="41CC0615"/>
    <w:rsid w:val="43AE1E13"/>
    <w:rsid w:val="4420020F"/>
    <w:rsid w:val="4793208C"/>
    <w:rsid w:val="4C01062E"/>
    <w:rsid w:val="532B4C62"/>
    <w:rsid w:val="54CC4053"/>
    <w:rsid w:val="588124B7"/>
    <w:rsid w:val="59EC7F68"/>
    <w:rsid w:val="5C427AD9"/>
    <w:rsid w:val="5D3744B6"/>
    <w:rsid w:val="60EE1F35"/>
    <w:rsid w:val="61BE7FDF"/>
    <w:rsid w:val="637275A0"/>
    <w:rsid w:val="66486341"/>
    <w:rsid w:val="68102910"/>
    <w:rsid w:val="6B2A5550"/>
    <w:rsid w:val="6BD537F2"/>
    <w:rsid w:val="6CAA79A1"/>
    <w:rsid w:val="6D535020"/>
    <w:rsid w:val="6E060432"/>
    <w:rsid w:val="6ED3280A"/>
    <w:rsid w:val="6FAB698E"/>
    <w:rsid w:val="70E253B3"/>
    <w:rsid w:val="759F0683"/>
    <w:rsid w:val="76D734CE"/>
    <w:rsid w:val="79690EF3"/>
    <w:rsid w:val="79F250A1"/>
    <w:rsid w:val="7A671E18"/>
    <w:rsid w:val="7AD72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qFormat/>
    <w:uiPriority w:val="0"/>
    <w:rPr>
      <w:rFonts w:cs="Times New Roman"/>
    </w:rPr>
  </w:style>
  <w:style w:type="paragraph" w:styleId="3">
    <w:name w:val="annotation text"/>
    <w:basedOn w:val="1"/>
    <w:link w:val="13"/>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3"/>
    <w:next w:val="3"/>
    <w:link w:val="14"/>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Table Paragraph"/>
    <w:basedOn w:val="1"/>
    <w:qFormat/>
    <w:uiPriority w:val="1"/>
    <w:pPr>
      <w:jc w:val="center"/>
    </w:pPr>
    <w:rPr>
      <w:rFonts w:eastAsia="Times New Roman" w:cs="Times New Roman"/>
    </w:rPr>
  </w:style>
  <w:style w:type="character" w:customStyle="1" w:styleId="12">
    <w:name w:val="文档结构图 字符"/>
    <w:basedOn w:val="9"/>
    <w:link w:val="2"/>
    <w:qFormat/>
    <w:uiPriority w:val="0"/>
    <w:rPr>
      <w:rFonts w:ascii="Times New Roman" w:hAnsi="Times New Roman" w:cs="Times New Roman"/>
      <w:kern w:val="2"/>
      <w:sz w:val="24"/>
      <w:szCs w:val="24"/>
    </w:rPr>
  </w:style>
  <w:style w:type="character" w:customStyle="1" w:styleId="13">
    <w:name w:val="批注文字 字符"/>
    <w:basedOn w:val="9"/>
    <w:link w:val="3"/>
    <w:qFormat/>
    <w:uiPriority w:val="0"/>
    <w:rPr>
      <w:rFonts w:cstheme="minorBidi"/>
      <w:kern w:val="2"/>
      <w:sz w:val="24"/>
      <w:szCs w:val="24"/>
    </w:rPr>
  </w:style>
  <w:style w:type="character" w:customStyle="1" w:styleId="14">
    <w:name w:val="批注主题 字符"/>
    <w:basedOn w:val="13"/>
    <w:link w:val="6"/>
    <w:qFormat/>
    <w:uiPriority w:val="0"/>
    <w:rPr>
      <w:rFonts w:cstheme="minorBidi"/>
      <w:b/>
      <w:bCs/>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2624</Words>
  <Characters>2985</Characters>
  <Lines>20</Lines>
  <Paragraphs>5</Paragraphs>
  <TotalTime>28</TotalTime>
  <ScaleCrop>false</ScaleCrop>
  <LinksUpToDate>false</LinksUpToDate>
  <CharactersWithSpaces>2998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2020-12-16T08:10:00Z</dcterms:created>
  <dc:creator>庆仔</dc:creator>
  <cp:lastModifiedBy>zz</cp:lastModifiedBy>
  <cp:lastPrinted>2024-10-18T06:07:00Z</cp:lastPrinted>
  <dcterms:modified xsi:type="dcterms:W3CDTF">2025-05-29T10:03:04Z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444137515CE345178C5B8CF5589E147D</vt:lpwstr>
  </property>
  <property fmtid="{D5CDD505-2E9C-101B-9397-08002B2CF9AE}" pid="4" name="KSOTemplateDocerSaveRecord">
    <vt:lpwstr>eyJoZGlkIjoiYTJlODJjMTIyMDFkNzgzNDYzYTU5MzZmNzg2ODc1OTkifQ==</vt:lpwstr>
  </property>
</Properties>
</file>